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02" w:rsidRDefault="00242002" w:rsidP="00242002">
      <w:pPr>
        <w:jc w:val="center"/>
        <w:rPr>
          <w:sz w:val="28"/>
          <w:szCs w:val="28"/>
        </w:rPr>
      </w:pPr>
      <w:bookmarkStart w:id="0" w:name="_GoBack"/>
      <w:bookmarkEnd w:id="0"/>
    </w:p>
    <w:p w:rsidR="00242002" w:rsidRDefault="00242002" w:rsidP="00242002">
      <w:pPr>
        <w:jc w:val="center"/>
        <w:rPr>
          <w:sz w:val="28"/>
          <w:szCs w:val="28"/>
        </w:rPr>
      </w:pPr>
    </w:p>
    <w:p w:rsidR="00242002" w:rsidRDefault="00242002" w:rsidP="00242002">
      <w:pPr>
        <w:jc w:val="center"/>
        <w:rPr>
          <w:sz w:val="28"/>
          <w:szCs w:val="28"/>
        </w:rPr>
      </w:pPr>
    </w:p>
    <w:p w:rsidR="00242002" w:rsidRPr="00CA4723" w:rsidRDefault="00242002" w:rsidP="00242002">
      <w:pPr>
        <w:jc w:val="center"/>
        <w:rPr>
          <w:rFonts w:ascii="Georgia" w:hAnsi="Georgia"/>
          <w:sz w:val="28"/>
          <w:szCs w:val="28"/>
        </w:rPr>
      </w:pPr>
    </w:p>
    <w:p w:rsidR="00242002" w:rsidRPr="009B7EB2" w:rsidRDefault="00242002" w:rsidP="00242002">
      <w:pPr>
        <w:spacing w:after="0"/>
        <w:jc w:val="center"/>
        <w:rPr>
          <w:rFonts w:ascii="Georgia" w:hAnsi="Georgia"/>
          <w:b/>
          <w:sz w:val="24"/>
          <w:szCs w:val="24"/>
        </w:rPr>
      </w:pPr>
      <w:r w:rsidRPr="009B7EB2">
        <w:rPr>
          <w:rFonts w:ascii="Georgia" w:hAnsi="Georgia"/>
          <w:b/>
          <w:sz w:val="24"/>
          <w:szCs w:val="24"/>
        </w:rPr>
        <w:t>Discrimination Complaint Procedures</w:t>
      </w:r>
    </w:p>
    <w:p w:rsidR="00242002" w:rsidRPr="009B7EB2" w:rsidRDefault="00242002" w:rsidP="00242002">
      <w:pPr>
        <w:spacing w:after="0"/>
        <w:jc w:val="center"/>
        <w:rPr>
          <w:rFonts w:ascii="Georgia" w:hAnsi="Georgia"/>
          <w:b/>
          <w:sz w:val="24"/>
          <w:szCs w:val="24"/>
        </w:rPr>
      </w:pPr>
      <w:r w:rsidRPr="009B7EB2">
        <w:rPr>
          <w:rFonts w:ascii="Georgia" w:hAnsi="Georgia"/>
          <w:b/>
          <w:sz w:val="24"/>
          <w:szCs w:val="24"/>
        </w:rPr>
        <w:t>Appendix B</w:t>
      </w:r>
    </w:p>
    <w:p w:rsidR="00242002" w:rsidRPr="009B7EB2" w:rsidRDefault="00242002" w:rsidP="00242002">
      <w:pPr>
        <w:spacing w:after="0"/>
        <w:jc w:val="center"/>
        <w:rPr>
          <w:rFonts w:ascii="Georgia" w:hAnsi="Georgia"/>
          <w:b/>
          <w:sz w:val="24"/>
          <w:szCs w:val="24"/>
        </w:rPr>
      </w:pPr>
    </w:p>
    <w:p w:rsidR="00F5009E" w:rsidRPr="009B7EB2" w:rsidRDefault="00242002" w:rsidP="003F29C2">
      <w:pPr>
        <w:spacing w:after="0"/>
        <w:jc w:val="center"/>
        <w:rPr>
          <w:rFonts w:ascii="Georgia" w:hAnsi="Georgia"/>
          <w:b/>
          <w:sz w:val="24"/>
          <w:szCs w:val="24"/>
        </w:rPr>
      </w:pPr>
      <w:r w:rsidRPr="009B7EB2">
        <w:rPr>
          <w:rFonts w:ascii="Georgia" w:hAnsi="Georgia"/>
          <w:b/>
          <w:sz w:val="24"/>
          <w:szCs w:val="24"/>
        </w:rPr>
        <w:t>Jurisdiction Checklist</w:t>
      </w:r>
      <w:r w:rsidR="00AD6F9C" w:rsidRPr="009B7EB2">
        <w:rPr>
          <w:rFonts w:ascii="Georgia" w:hAnsi="Georgia"/>
          <w:sz w:val="24"/>
          <w:szCs w:val="24"/>
        </w:rPr>
        <w:br w:type="page"/>
      </w:r>
      <w:r w:rsidR="00F5009E" w:rsidRPr="009B7EB2">
        <w:rPr>
          <w:rFonts w:ascii="Georgia" w:hAnsi="Georgia"/>
          <w:b/>
          <w:sz w:val="24"/>
          <w:szCs w:val="24"/>
        </w:rPr>
        <w:lastRenderedPageBreak/>
        <w:t>Checklist for Establishing Jurisdiction</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jc w:val="both"/>
        <w:rPr>
          <w:rFonts w:ascii="Georgia" w:hAnsi="Georgia"/>
          <w:b/>
          <w:sz w:val="24"/>
          <w:szCs w:val="24"/>
        </w:rPr>
      </w:pPr>
      <w:r w:rsidRPr="009B7EB2">
        <w:rPr>
          <w:rFonts w:ascii="Georgia" w:hAnsi="Georgia"/>
          <w:sz w:val="24"/>
          <w:szCs w:val="24"/>
        </w:rPr>
        <w:t>Failure of the C</w:t>
      </w:r>
      <w:r w:rsidR="003F29C2" w:rsidRPr="009B7EB2">
        <w:rPr>
          <w:rFonts w:ascii="Georgia" w:hAnsi="Georgia"/>
          <w:sz w:val="24"/>
          <w:szCs w:val="24"/>
        </w:rPr>
        <w:t>omplainant</w:t>
      </w:r>
      <w:r w:rsidRPr="009B7EB2">
        <w:rPr>
          <w:rFonts w:ascii="Georgia" w:hAnsi="Georgia"/>
          <w:sz w:val="24"/>
          <w:szCs w:val="24"/>
        </w:rPr>
        <w:t xml:space="preserve"> to establish any one of the following items, after an opportunity to supplement his/her complaint</w:t>
      </w:r>
      <w:r w:rsidR="003F29C2" w:rsidRPr="009B7EB2">
        <w:rPr>
          <w:rFonts w:ascii="Georgia" w:hAnsi="Georgia"/>
          <w:sz w:val="24"/>
          <w:szCs w:val="24"/>
        </w:rPr>
        <w:t>,</w:t>
      </w:r>
      <w:r w:rsidRPr="009B7EB2">
        <w:rPr>
          <w:rFonts w:ascii="Georgia" w:hAnsi="Georgia"/>
          <w:sz w:val="24"/>
          <w:szCs w:val="24"/>
        </w:rPr>
        <w:t xml:space="preserve"> shall result in</w:t>
      </w:r>
      <w:r w:rsidR="00A17552" w:rsidRPr="009B7EB2">
        <w:rPr>
          <w:rFonts w:ascii="Georgia" w:hAnsi="Georgia"/>
          <w:sz w:val="24"/>
          <w:szCs w:val="24"/>
        </w:rPr>
        <w:t xml:space="preserve"> a</w:t>
      </w:r>
      <w:r w:rsidRPr="009B7EB2">
        <w:rPr>
          <w:rFonts w:ascii="Georgia" w:hAnsi="Georgia"/>
          <w:sz w:val="24"/>
          <w:szCs w:val="24"/>
        </w:rPr>
        <w:t xml:space="preserve"> notification of </w:t>
      </w:r>
      <w:r w:rsidR="00A17552" w:rsidRPr="009B7EB2">
        <w:rPr>
          <w:rFonts w:ascii="Georgia" w:hAnsi="Georgia"/>
          <w:sz w:val="24"/>
          <w:szCs w:val="24"/>
        </w:rPr>
        <w:t xml:space="preserve">“no </w:t>
      </w:r>
      <w:r w:rsidRPr="009B7EB2">
        <w:rPr>
          <w:rFonts w:ascii="Georgia" w:hAnsi="Georgia"/>
          <w:sz w:val="24"/>
          <w:szCs w:val="24"/>
        </w:rPr>
        <w:t>jurisdiction</w:t>
      </w:r>
      <w:r w:rsidR="00A17552" w:rsidRPr="009B7EB2">
        <w:rPr>
          <w:rFonts w:ascii="Georgia" w:hAnsi="Georgia"/>
          <w:sz w:val="24"/>
          <w:szCs w:val="24"/>
        </w:rPr>
        <w:t>” to the C</w:t>
      </w:r>
      <w:r w:rsidR="003F29C2" w:rsidRPr="009B7EB2">
        <w:rPr>
          <w:rFonts w:ascii="Georgia" w:hAnsi="Georgia"/>
          <w:sz w:val="24"/>
          <w:szCs w:val="24"/>
        </w:rPr>
        <w:t>omplainant</w:t>
      </w:r>
      <w:r w:rsidRPr="009B7EB2">
        <w:rPr>
          <w:rFonts w:ascii="Georgia" w:hAnsi="Georgia"/>
          <w:sz w:val="24"/>
          <w:szCs w:val="24"/>
        </w:rPr>
        <w:t>.</w:t>
      </w:r>
    </w:p>
    <w:p w:rsidR="00F5009E" w:rsidRPr="009B7EB2" w:rsidRDefault="00F5009E" w:rsidP="00F5009E">
      <w:pPr>
        <w:spacing w:after="0"/>
        <w:jc w:val="center"/>
        <w:rPr>
          <w:rFonts w:ascii="Georgia" w:hAnsi="Georgia"/>
          <w:sz w:val="24"/>
          <w:szCs w:val="24"/>
        </w:rPr>
      </w:pPr>
      <w:r w:rsidRPr="009B7EB2">
        <w:rPr>
          <w:rFonts w:ascii="Georgia" w:hAnsi="Georgia"/>
          <w:sz w:val="24"/>
          <w:szCs w:val="24"/>
        </w:rPr>
        <w:t xml:space="preserve"> </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_____</w:t>
      </w:r>
      <w:r w:rsidRPr="009B7EB2">
        <w:rPr>
          <w:rFonts w:ascii="Georgia" w:hAnsi="Georgia"/>
          <w:sz w:val="24"/>
          <w:szCs w:val="24"/>
        </w:rPr>
        <w:tab/>
      </w:r>
      <w:proofErr w:type="gramStart"/>
      <w:r w:rsidRPr="009B7EB2">
        <w:rPr>
          <w:rFonts w:ascii="Georgia" w:hAnsi="Georgia"/>
          <w:sz w:val="24"/>
          <w:szCs w:val="24"/>
        </w:rPr>
        <w:t>The</w:t>
      </w:r>
      <w:proofErr w:type="gramEnd"/>
      <w:r w:rsidRPr="009B7EB2">
        <w:rPr>
          <w:rFonts w:ascii="Georgia" w:hAnsi="Georgia"/>
          <w:sz w:val="24"/>
          <w:szCs w:val="24"/>
        </w:rPr>
        <w:t xml:space="preserve"> complaint is in writing</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jc w:val="both"/>
        <w:rPr>
          <w:rFonts w:ascii="Georgia" w:hAnsi="Georgia"/>
          <w:sz w:val="24"/>
          <w:szCs w:val="24"/>
        </w:rPr>
      </w:pPr>
      <w:r w:rsidRPr="009B7EB2">
        <w:rPr>
          <w:rFonts w:ascii="Georgia" w:hAnsi="Georgia"/>
          <w:sz w:val="24"/>
          <w:szCs w:val="24"/>
        </w:rPr>
        <w:t>_____</w:t>
      </w:r>
      <w:r w:rsidRPr="009B7EB2">
        <w:rPr>
          <w:rFonts w:ascii="Georgia" w:hAnsi="Georgia"/>
          <w:sz w:val="24"/>
          <w:szCs w:val="24"/>
        </w:rPr>
        <w:tab/>
        <w:t xml:space="preserve">The </w:t>
      </w:r>
      <w:r w:rsidR="003F29C2" w:rsidRPr="009B7EB2">
        <w:rPr>
          <w:rFonts w:ascii="Georgia" w:hAnsi="Georgia"/>
          <w:sz w:val="24"/>
          <w:szCs w:val="24"/>
        </w:rPr>
        <w:t>Complainant’</w:t>
      </w:r>
      <w:r w:rsidRPr="009B7EB2">
        <w:rPr>
          <w:rFonts w:ascii="Georgia" w:hAnsi="Georgia"/>
          <w:sz w:val="24"/>
          <w:szCs w:val="24"/>
        </w:rPr>
        <w:t>s name and contact information is provided</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 xml:space="preserve">               </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_____</w:t>
      </w:r>
      <w:r w:rsidRPr="009B7EB2">
        <w:rPr>
          <w:rFonts w:ascii="Georgia" w:hAnsi="Georgia"/>
          <w:sz w:val="24"/>
          <w:szCs w:val="24"/>
        </w:rPr>
        <w:tab/>
      </w:r>
      <w:proofErr w:type="gramStart"/>
      <w:r w:rsidRPr="009B7EB2">
        <w:rPr>
          <w:rFonts w:ascii="Georgia" w:hAnsi="Georgia"/>
          <w:sz w:val="24"/>
          <w:szCs w:val="24"/>
        </w:rPr>
        <w:t>The</w:t>
      </w:r>
      <w:proofErr w:type="gramEnd"/>
      <w:r w:rsidRPr="009B7EB2">
        <w:rPr>
          <w:rFonts w:ascii="Georgia" w:hAnsi="Georgia"/>
          <w:sz w:val="24"/>
          <w:szCs w:val="24"/>
        </w:rPr>
        <w:t xml:space="preserve"> complaint is signed by the </w:t>
      </w:r>
      <w:r w:rsidR="003F29C2" w:rsidRPr="009B7EB2">
        <w:rPr>
          <w:rFonts w:ascii="Georgia" w:hAnsi="Georgia"/>
          <w:sz w:val="24"/>
          <w:szCs w:val="24"/>
        </w:rPr>
        <w:t>Complainant</w:t>
      </w:r>
      <w:r w:rsidRPr="009B7EB2">
        <w:rPr>
          <w:rFonts w:ascii="Georgia" w:hAnsi="Georgia"/>
          <w:sz w:val="24"/>
          <w:szCs w:val="24"/>
        </w:rPr>
        <w:t xml:space="preserve"> or authorized </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ab/>
      </w:r>
      <w:r w:rsidRPr="009B7EB2">
        <w:rPr>
          <w:rFonts w:ascii="Georgia" w:hAnsi="Georgia"/>
          <w:sz w:val="24"/>
          <w:szCs w:val="24"/>
        </w:rPr>
        <w:tab/>
      </w:r>
      <w:proofErr w:type="gramStart"/>
      <w:r w:rsidRPr="009B7EB2">
        <w:rPr>
          <w:rFonts w:ascii="Georgia" w:hAnsi="Georgia"/>
          <w:sz w:val="24"/>
          <w:szCs w:val="24"/>
        </w:rPr>
        <w:t>representative</w:t>
      </w:r>
      <w:proofErr w:type="gramEnd"/>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jc w:val="both"/>
        <w:rPr>
          <w:rFonts w:ascii="Georgia" w:hAnsi="Georgia"/>
          <w:sz w:val="24"/>
          <w:szCs w:val="24"/>
        </w:rPr>
      </w:pPr>
      <w:r w:rsidRPr="009B7EB2">
        <w:rPr>
          <w:rFonts w:ascii="Georgia" w:hAnsi="Georgia"/>
          <w:sz w:val="24"/>
          <w:szCs w:val="24"/>
        </w:rPr>
        <w:t xml:space="preserve">              </w:t>
      </w:r>
      <w:r w:rsidRPr="009B7EB2">
        <w:rPr>
          <w:rFonts w:ascii="Georgia" w:hAnsi="Georgia"/>
          <w:sz w:val="24"/>
          <w:szCs w:val="24"/>
        </w:rPr>
        <w:tab/>
        <w:t xml:space="preserve">Does the </w:t>
      </w:r>
      <w:r w:rsidR="003F29C2" w:rsidRPr="009B7EB2">
        <w:rPr>
          <w:rFonts w:ascii="Georgia" w:hAnsi="Georgia"/>
          <w:sz w:val="24"/>
          <w:szCs w:val="24"/>
        </w:rPr>
        <w:t>Complainant</w:t>
      </w:r>
      <w:r w:rsidRPr="009B7EB2">
        <w:rPr>
          <w:rFonts w:ascii="Georgia" w:hAnsi="Georgia"/>
          <w:sz w:val="24"/>
          <w:szCs w:val="24"/>
        </w:rPr>
        <w:t xml:space="preserve"> have an authorized representative?  </w:t>
      </w:r>
    </w:p>
    <w:p w:rsidR="00F5009E" w:rsidRPr="009B7EB2" w:rsidRDefault="00F5009E" w:rsidP="00F5009E">
      <w:pPr>
        <w:spacing w:after="0"/>
        <w:ind w:left="720" w:firstLine="720"/>
        <w:jc w:val="both"/>
        <w:rPr>
          <w:rFonts w:ascii="Georgia" w:hAnsi="Georgia"/>
          <w:sz w:val="24"/>
          <w:szCs w:val="24"/>
        </w:rPr>
      </w:pPr>
      <w:r w:rsidRPr="009B7EB2">
        <w:rPr>
          <w:rFonts w:ascii="Georgia" w:hAnsi="Georgia"/>
          <w:sz w:val="24"/>
          <w:szCs w:val="24"/>
        </w:rPr>
        <w:t>____ yes    ____ no</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 xml:space="preserve">              </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_____</w:t>
      </w:r>
      <w:r w:rsidRPr="009B7EB2">
        <w:rPr>
          <w:rFonts w:ascii="Georgia" w:hAnsi="Georgia"/>
          <w:sz w:val="24"/>
          <w:szCs w:val="24"/>
        </w:rPr>
        <w:tab/>
        <w:t>The Respondent is identified</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ind w:left="720" w:firstLine="720"/>
        <w:jc w:val="both"/>
        <w:rPr>
          <w:rFonts w:ascii="Georgia" w:hAnsi="Georgia"/>
          <w:sz w:val="24"/>
          <w:szCs w:val="24"/>
        </w:rPr>
      </w:pPr>
      <w:r w:rsidRPr="009B7EB2">
        <w:rPr>
          <w:rFonts w:ascii="Georgia" w:hAnsi="Georgia"/>
          <w:sz w:val="24"/>
          <w:szCs w:val="24"/>
        </w:rPr>
        <w:t>Name:  _________________________________________</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 xml:space="preserve">               </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_____</w:t>
      </w:r>
      <w:r w:rsidRPr="009B7EB2">
        <w:rPr>
          <w:rFonts w:ascii="Georgia" w:hAnsi="Georgia"/>
          <w:sz w:val="24"/>
          <w:szCs w:val="24"/>
        </w:rPr>
        <w:tab/>
        <w:t>The Respondent is a “recipient”</w:t>
      </w:r>
      <w:r w:rsidR="003F29C2" w:rsidRPr="009B7EB2">
        <w:rPr>
          <w:rStyle w:val="FootnoteReference"/>
          <w:rFonts w:ascii="Georgia" w:hAnsi="Georgia"/>
          <w:sz w:val="24"/>
          <w:szCs w:val="24"/>
        </w:rPr>
        <w:footnoteReference w:id="1"/>
      </w:r>
    </w:p>
    <w:p w:rsidR="00F5009E" w:rsidRPr="009B7EB2" w:rsidRDefault="003F29C2" w:rsidP="00F5009E">
      <w:pPr>
        <w:spacing w:after="0"/>
        <w:ind w:left="720" w:firstLine="720"/>
        <w:jc w:val="both"/>
        <w:rPr>
          <w:rFonts w:ascii="Georgia" w:hAnsi="Georgia"/>
          <w:sz w:val="24"/>
          <w:szCs w:val="24"/>
        </w:rPr>
      </w:pPr>
      <w:r w:rsidRPr="009B7EB2">
        <w:rPr>
          <w:rFonts w:ascii="Georgia" w:hAnsi="Georgia"/>
          <w:sz w:val="24"/>
          <w:szCs w:val="24"/>
        </w:rPr>
        <w:t>E</w:t>
      </w:r>
      <w:r w:rsidR="00F5009E" w:rsidRPr="009B7EB2">
        <w:rPr>
          <w:rFonts w:ascii="Georgia" w:hAnsi="Georgia"/>
          <w:sz w:val="24"/>
          <w:szCs w:val="24"/>
        </w:rPr>
        <w:t>xplain source of federal funding or other qualifying</w:t>
      </w:r>
    </w:p>
    <w:p w:rsidR="00F5009E" w:rsidRPr="009B7EB2" w:rsidRDefault="00F5009E" w:rsidP="00F5009E">
      <w:pPr>
        <w:spacing w:after="0"/>
        <w:ind w:left="720" w:firstLine="720"/>
        <w:jc w:val="both"/>
        <w:rPr>
          <w:rFonts w:ascii="Georgia" w:hAnsi="Georgia"/>
          <w:sz w:val="24"/>
          <w:szCs w:val="24"/>
        </w:rPr>
      </w:pPr>
      <w:proofErr w:type="gramStart"/>
      <w:r w:rsidRPr="009B7EB2">
        <w:rPr>
          <w:rFonts w:ascii="Georgia" w:hAnsi="Georgia"/>
          <w:sz w:val="24"/>
          <w:szCs w:val="24"/>
        </w:rPr>
        <w:lastRenderedPageBreak/>
        <w:t>source</w:t>
      </w:r>
      <w:proofErr w:type="gramEnd"/>
      <w:r w:rsidRPr="009B7EB2">
        <w:rPr>
          <w:rFonts w:ascii="Georgia" w:hAnsi="Georgia"/>
          <w:sz w:val="24"/>
          <w:szCs w:val="24"/>
        </w:rPr>
        <w:t xml:space="preserve"> (</w:t>
      </w:r>
      <w:r w:rsidR="003F29C2" w:rsidRPr="009B7EB2">
        <w:rPr>
          <w:rFonts w:ascii="Georgia" w:hAnsi="Georgia"/>
          <w:i/>
          <w:sz w:val="24"/>
          <w:szCs w:val="24"/>
        </w:rPr>
        <w:t>e.g</w:t>
      </w:r>
      <w:r w:rsidRPr="009B7EB2">
        <w:rPr>
          <w:rFonts w:ascii="Georgia" w:hAnsi="Georgia"/>
          <w:i/>
          <w:sz w:val="24"/>
          <w:szCs w:val="24"/>
        </w:rPr>
        <w:t>.</w:t>
      </w:r>
      <w:r w:rsidR="003F29C2" w:rsidRPr="009B7EB2">
        <w:rPr>
          <w:rFonts w:ascii="Georgia" w:hAnsi="Georgia"/>
          <w:i/>
          <w:sz w:val="24"/>
          <w:szCs w:val="24"/>
        </w:rPr>
        <w:t>,</w:t>
      </w:r>
      <w:r w:rsidRPr="009B7EB2">
        <w:rPr>
          <w:rFonts w:ascii="Georgia" w:hAnsi="Georgia"/>
          <w:sz w:val="24"/>
          <w:szCs w:val="24"/>
        </w:rPr>
        <w:t xml:space="preserve"> operates WI</w:t>
      </w:r>
      <w:r w:rsidR="003F29C2" w:rsidRPr="009B7EB2">
        <w:rPr>
          <w:rFonts w:ascii="Georgia" w:hAnsi="Georgia"/>
          <w:sz w:val="24"/>
          <w:szCs w:val="24"/>
        </w:rPr>
        <w:t>O</w:t>
      </w:r>
      <w:r w:rsidRPr="009B7EB2">
        <w:rPr>
          <w:rFonts w:ascii="Georgia" w:hAnsi="Georgia"/>
          <w:sz w:val="24"/>
          <w:szCs w:val="24"/>
        </w:rPr>
        <w:t xml:space="preserve">A Title I programs or services):                  </w:t>
      </w:r>
    </w:p>
    <w:p w:rsidR="00F5009E" w:rsidRPr="009B7EB2" w:rsidRDefault="00F5009E" w:rsidP="00F5009E">
      <w:pPr>
        <w:spacing w:after="0"/>
        <w:ind w:left="720" w:firstLine="720"/>
        <w:jc w:val="both"/>
        <w:rPr>
          <w:rFonts w:ascii="Georgia" w:hAnsi="Georgia"/>
          <w:sz w:val="24"/>
          <w:szCs w:val="24"/>
        </w:rPr>
      </w:pPr>
      <w:r w:rsidRPr="009B7EB2">
        <w:rPr>
          <w:rFonts w:ascii="Georgia" w:hAnsi="Georgia"/>
          <w:sz w:val="24"/>
          <w:szCs w:val="24"/>
        </w:rPr>
        <w:t>_______________________________________________</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 xml:space="preserve">              </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 xml:space="preserve">                </w:t>
      </w:r>
      <w:r w:rsidRPr="009B7EB2">
        <w:rPr>
          <w:rFonts w:ascii="Georgia" w:hAnsi="Georgia"/>
          <w:sz w:val="24"/>
          <w:szCs w:val="24"/>
        </w:rPr>
        <w:tab/>
        <w:t>Documentation supporting “recipient” status:  _ yes   _ no</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ind w:left="720" w:firstLine="720"/>
        <w:jc w:val="both"/>
        <w:rPr>
          <w:rFonts w:ascii="Georgia" w:hAnsi="Georgia"/>
          <w:sz w:val="24"/>
          <w:szCs w:val="24"/>
        </w:rPr>
      </w:pPr>
      <w:r w:rsidRPr="009B7EB2">
        <w:rPr>
          <w:rFonts w:ascii="Georgia" w:hAnsi="Georgia"/>
          <w:sz w:val="24"/>
          <w:szCs w:val="24"/>
        </w:rPr>
        <w:t>There is a relationship between the C</w:t>
      </w:r>
      <w:r w:rsidR="00F22942">
        <w:rPr>
          <w:rFonts w:ascii="Georgia" w:hAnsi="Georgia"/>
          <w:sz w:val="24"/>
          <w:szCs w:val="24"/>
        </w:rPr>
        <w:t>omplainant</w:t>
      </w:r>
      <w:r w:rsidRPr="009B7EB2">
        <w:rPr>
          <w:rFonts w:ascii="Georgia" w:hAnsi="Georgia"/>
          <w:sz w:val="24"/>
          <w:szCs w:val="24"/>
        </w:rPr>
        <w:t xml:space="preserve"> and Respondent   </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ind w:firstLine="720"/>
        <w:jc w:val="both"/>
        <w:rPr>
          <w:rFonts w:ascii="Georgia" w:hAnsi="Georgia"/>
          <w:sz w:val="24"/>
          <w:szCs w:val="24"/>
        </w:rPr>
      </w:pPr>
      <w:r w:rsidRPr="009B7EB2">
        <w:rPr>
          <w:rFonts w:ascii="Georgia" w:hAnsi="Georgia"/>
          <w:sz w:val="24"/>
          <w:szCs w:val="24"/>
        </w:rPr>
        <w:t xml:space="preserve">  </w:t>
      </w:r>
      <w:r w:rsidRPr="009B7EB2">
        <w:rPr>
          <w:rFonts w:ascii="Georgia" w:hAnsi="Georgia"/>
          <w:sz w:val="24"/>
          <w:szCs w:val="24"/>
        </w:rPr>
        <w:tab/>
        <w:t>___ yes   ___ no</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ind w:left="1440"/>
        <w:jc w:val="both"/>
        <w:rPr>
          <w:rFonts w:ascii="Georgia" w:hAnsi="Georgia"/>
          <w:sz w:val="24"/>
          <w:szCs w:val="24"/>
        </w:rPr>
      </w:pPr>
      <w:r w:rsidRPr="009B7EB2">
        <w:rPr>
          <w:rFonts w:ascii="Georgia" w:hAnsi="Georgia"/>
          <w:sz w:val="24"/>
          <w:szCs w:val="24"/>
        </w:rPr>
        <w:t xml:space="preserve">Identify the nature of the relationship:  </w:t>
      </w:r>
    </w:p>
    <w:p w:rsidR="00F5009E" w:rsidRPr="009B7EB2" w:rsidRDefault="00F5009E" w:rsidP="00F5009E">
      <w:pPr>
        <w:spacing w:after="0"/>
        <w:ind w:left="1440"/>
        <w:jc w:val="both"/>
        <w:rPr>
          <w:rFonts w:ascii="Georgia" w:hAnsi="Georgia"/>
          <w:sz w:val="24"/>
          <w:szCs w:val="24"/>
        </w:rPr>
      </w:pPr>
    </w:p>
    <w:p w:rsidR="00F5009E" w:rsidRPr="009B7EB2" w:rsidRDefault="00F5009E" w:rsidP="00F5009E">
      <w:pPr>
        <w:spacing w:after="0"/>
        <w:ind w:left="1440"/>
        <w:jc w:val="both"/>
        <w:rPr>
          <w:rFonts w:ascii="Georgia" w:hAnsi="Georgia"/>
          <w:sz w:val="24"/>
          <w:szCs w:val="24"/>
        </w:rPr>
      </w:pPr>
      <w:r w:rsidRPr="009B7EB2">
        <w:rPr>
          <w:rFonts w:ascii="Georgia" w:hAnsi="Georgia"/>
          <w:sz w:val="24"/>
          <w:szCs w:val="24"/>
        </w:rPr>
        <w:t xml:space="preserve">___ </w:t>
      </w:r>
      <w:proofErr w:type="gramStart"/>
      <w:r w:rsidRPr="009B7EB2">
        <w:rPr>
          <w:rFonts w:ascii="Georgia" w:hAnsi="Georgia"/>
          <w:sz w:val="24"/>
          <w:szCs w:val="24"/>
        </w:rPr>
        <w:t>applicant</w:t>
      </w:r>
      <w:proofErr w:type="gramEnd"/>
    </w:p>
    <w:p w:rsidR="00F5009E" w:rsidRPr="009B7EB2" w:rsidRDefault="00F5009E" w:rsidP="00F5009E">
      <w:pPr>
        <w:spacing w:after="0"/>
        <w:ind w:left="1440"/>
        <w:jc w:val="both"/>
        <w:rPr>
          <w:rFonts w:ascii="Georgia" w:hAnsi="Georgia"/>
          <w:sz w:val="24"/>
          <w:szCs w:val="24"/>
        </w:rPr>
      </w:pPr>
    </w:p>
    <w:p w:rsidR="00F5009E" w:rsidRPr="009B7EB2" w:rsidRDefault="00F5009E" w:rsidP="00F5009E">
      <w:pPr>
        <w:spacing w:after="0"/>
        <w:ind w:left="1440"/>
        <w:jc w:val="both"/>
        <w:rPr>
          <w:rFonts w:ascii="Georgia" w:hAnsi="Georgia"/>
          <w:sz w:val="24"/>
          <w:szCs w:val="24"/>
        </w:rPr>
      </w:pPr>
      <w:r w:rsidRPr="009B7EB2">
        <w:rPr>
          <w:rFonts w:ascii="Georgia" w:hAnsi="Georgia"/>
          <w:sz w:val="24"/>
          <w:szCs w:val="24"/>
        </w:rPr>
        <w:t xml:space="preserve">___ </w:t>
      </w:r>
      <w:proofErr w:type="gramStart"/>
      <w:r w:rsidRPr="009B7EB2">
        <w:rPr>
          <w:rFonts w:ascii="Georgia" w:hAnsi="Georgia"/>
          <w:sz w:val="24"/>
          <w:szCs w:val="24"/>
        </w:rPr>
        <w:t>enrollee</w:t>
      </w:r>
      <w:proofErr w:type="gramEnd"/>
    </w:p>
    <w:p w:rsidR="00F5009E" w:rsidRPr="009B7EB2" w:rsidRDefault="00F5009E" w:rsidP="00F5009E">
      <w:pPr>
        <w:spacing w:after="0"/>
        <w:ind w:left="1440"/>
        <w:jc w:val="both"/>
        <w:rPr>
          <w:rFonts w:ascii="Georgia" w:hAnsi="Georgia"/>
          <w:sz w:val="24"/>
          <w:szCs w:val="24"/>
        </w:rPr>
      </w:pPr>
    </w:p>
    <w:p w:rsidR="00F5009E" w:rsidRPr="009B7EB2" w:rsidRDefault="00F5009E" w:rsidP="00F5009E">
      <w:pPr>
        <w:spacing w:after="0"/>
        <w:ind w:left="1440"/>
        <w:jc w:val="both"/>
        <w:rPr>
          <w:rFonts w:ascii="Georgia" w:hAnsi="Georgia"/>
          <w:sz w:val="24"/>
          <w:szCs w:val="24"/>
        </w:rPr>
      </w:pPr>
      <w:r w:rsidRPr="009B7EB2">
        <w:rPr>
          <w:rFonts w:ascii="Georgia" w:hAnsi="Georgia"/>
          <w:sz w:val="24"/>
          <w:szCs w:val="24"/>
        </w:rPr>
        <w:t>__</w:t>
      </w:r>
      <w:proofErr w:type="gramStart"/>
      <w:r w:rsidRPr="009B7EB2">
        <w:rPr>
          <w:rFonts w:ascii="Georgia" w:hAnsi="Georgia"/>
          <w:sz w:val="24"/>
          <w:szCs w:val="24"/>
        </w:rPr>
        <w:t>_  seeking</w:t>
      </w:r>
      <w:proofErr w:type="gramEnd"/>
      <w:r w:rsidRPr="009B7EB2">
        <w:rPr>
          <w:rFonts w:ascii="Georgia" w:hAnsi="Georgia"/>
          <w:sz w:val="24"/>
          <w:szCs w:val="24"/>
        </w:rPr>
        <w:t xml:space="preserve"> to apply/enroll/bid</w:t>
      </w:r>
    </w:p>
    <w:p w:rsidR="00F5009E" w:rsidRPr="009B7EB2" w:rsidRDefault="00F5009E" w:rsidP="00F5009E">
      <w:pPr>
        <w:spacing w:after="0"/>
        <w:ind w:left="1440"/>
        <w:jc w:val="both"/>
        <w:rPr>
          <w:rFonts w:ascii="Georgia" w:hAnsi="Georgia"/>
          <w:sz w:val="24"/>
          <w:szCs w:val="24"/>
        </w:rPr>
      </w:pPr>
    </w:p>
    <w:p w:rsidR="00F5009E" w:rsidRPr="009B7EB2" w:rsidRDefault="00F5009E" w:rsidP="00F5009E">
      <w:pPr>
        <w:spacing w:after="0"/>
        <w:ind w:left="1440"/>
        <w:jc w:val="both"/>
        <w:rPr>
          <w:rFonts w:ascii="Georgia" w:hAnsi="Georgia"/>
          <w:sz w:val="24"/>
          <w:szCs w:val="24"/>
        </w:rPr>
      </w:pPr>
      <w:r w:rsidRPr="009B7EB2">
        <w:rPr>
          <w:rFonts w:ascii="Georgia" w:hAnsi="Georgia"/>
          <w:sz w:val="24"/>
          <w:szCs w:val="24"/>
        </w:rPr>
        <w:t>__</w:t>
      </w:r>
      <w:proofErr w:type="gramStart"/>
      <w:r w:rsidRPr="009B7EB2">
        <w:rPr>
          <w:rFonts w:ascii="Georgia" w:hAnsi="Georgia"/>
          <w:sz w:val="24"/>
          <w:szCs w:val="24"/>
        </w:rPr>
        <w:t>_  bidder</w:t>
      </w:r>
      <w:proofErr w:type="gramEnd"/>
    </w:p>
    <w:p w:rsidR="00F5009E" w:rsidRPr="009B7EB2" w:rsidRDefault="00F5009E" w:rsidP="00F5009E">
      <w:pPr>
        <w:spacing w:after="0"/>
        <w:ind w:left="1440"/>
        <w:jc w:val="both"/>
        <w:rPr>
          <w:rFonts w:ascii="Georgia" w:hAnsi="Georgia"/>
          <w:sz w:val="24"/>
          <w:szCs w:val="24"/>
        </w:rPr>
      </w:pPr>
    </w:p>
    <w:p w:rsidR="00F5009E" w:rsidRPr="009B7EB2" w:rsidRDefault="00F5009E" w:rsidP="00F5009E">
      <w:pPr>
        <w:spacing w:after="0"/>
        <w:ind w:left="1440"/>
        <w:jc w:val="both"/>
        <w:rPr>
          <w:rFonts w:ascii="Georgia" w:hAnsi="Georgia"/>
          <w:sz w:val="24"/>
          <w:szCs w:val="24"/>
        </w:rPr>
      </w:pPr>
      <w:r w:rsidRPr="009B7EB2">
        <w:rPr>
          <w:rFonts w:ascii="Georgia" w:hAnsi="Georgia"/>
          <w:sz w:val="24"/>
          <w:szCs w:val="24"/>
        </w:rPr>
        <w:t>__</w:t>
      </w:r>
      <w:proofErr w:type="gramStart"/>
      <w:r w:rsidRPr="009B7EB2">
        <w:rPr>
          <w:rFonts w:ascii="Georgia" w:hAnsi="Georgia"/>
          <w:sz w:val="24"/>
          <w:szCs w:val="24"/>
        </w:rPr>
        <w:t>_  other</w:t>
      </w:r>
      <w:proofErr w:type="gramEnd"/>
      <w:r w:rsidRPr="009B7EB2">
        <w:rPr>
          <w:rFonts w:ascii="Georgia" w:hAnsi="Georgia"/>
          <w:sz w:val="24"/>
          <w:szCs w:val="24"/>
        </w:rPr>
        <w:t xml:space="preserve"> (describe)</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jc w:val="both"/>
        <w:rPr>
          <w:rFonts w:ascii="Georgia" w:hAnsi="Georgia"/>
          <w:sz w:val="24"/>
          <w:szCs w:val="24"/>
        </w:rPr>
      </w:pPr>
      <w:r w:rsidRPr="009B7EB2">
        <w:rPr>
          <w:rFonts w:ascii="Georgia" w:hAnsi="Georgia"/>
          <w:sz w:val="24"/>
          <w:szCs w:val="24"/>
        </w:rPr>
        <w:t>_____</w:t>
      </w:r>
      <w:r w:rsidRPr="009B7EB2">
        <w:rPr>
          <w:rFonts w:ascii="Georgia" w:hAnsi="Georgia"/>
          <w:sz w:val="24"/>
          <w:szCs w:val="24"/>
        </w:rPr>
        <w:tab/>
      </w:r>
      <w:proofErr w:type="gramStart"/>
      <w:r w:rsidRPr="009B7EB2">
        <w:rPr>
          <w:rFonts w:ascii="Georgia" w:hAnsi="Georgia"/>
          <w:sz w:val="24"/>
          <w:szCs w:val="24"/>
        </w:rPr>
        <w:t>The</w:t>
      </w:r>
      <w:proofErr w:type="gramEnd"/>
      <w:r w:rsidRPr="009B7EB2">
        <w:rPr>
          <w:rFonts w:ascii="Georgia" w:hAnsi="Georgia"/>
          <w:sz w:val="24"/>
          <w:szCs w:val="24"/>
        </w:rPr>
        <w:t xml:space="preserve"> complaint alleges a covered “basis” of discrimination</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ind w:left="720" w:firstLine="720"/>
        <w:jc w:val="both"/>
        <w:rPr>
          <w:rFonts w:ascii="Georgia" w:hAnsi="Georgia"/>
          <w:sz w:val="24"/>
          <w:szCs w:val="24"/>
        </w:rPr>
      </w:pPr>
      <w:r w:rsidRPr="009B7EB2">
        <w:rPr>
          <w:rFonts w:ascii="Georgia" w:hAnsi="Georgia"/>
          <w:sz w:val="24"/>
          <w:szCs w:val="24"/>
        </w:rPr>
        <w:t xml:space="preserve">What is the covered “basis”?   </w:t>
      </w:r>
    </w:p>
    <w:p w:rsidR="00F5009E" w:rsidRPr="009B7EB2" w:rsidRDefault="00F5009E" w:rsidP="00F5009E">
      <w:pPr>
        <w:spacing w:after="0"/>
        <w:ind w:left="720" w:firstLine="720"/>
        <w:jc w:val="both"/>
        <w:rPr>
          <w:rFonts w:ascii="Georgia" w:hAnsi="Georgia"/>
          <w:sz w:val="24"/>
          <w:szCs w:val="24"/>
        </w:rPr>
      </w:pPr>
      <w:r w:rsidRPr="009B7EB2">
        <w:rPr>
          <w:rFonts w:ascii="Georgia" w:hAnsi="Georgia"/>
          <w:sz w:val="24"/>
          <w:szCs w:val="24"/>
        </w:rPr>
        <w:t>_______________________________________________</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jc w:val="both"/>
        <w:rPr>
          <w:rFonts w:ascii="Georgia" w:hAnsi="Georgia"/>
          <w:sz w:val="24"/>
          <w:szCs w:val="24"/>
        </w:rPr>
      </w:pPr>
      <w:r w:rsidRPr="009B7EB2">
        <w:rPr>
          <w:rFonts w:ascii="Georgia" w:hAnsi="Georgia"/>
          <w:sz w:val="24"/>
          <w:szCs w:val="24"/>
        </w:rPr>
        <w:t>_____</w:t>
      </w:r>
      <w:r w:rsidRPr="009B7EB2">
        <w:rPr>
          <w:rFonts w:ascii="Georgia" w:hAnsi="Georgia"/>
          <w:sz w:val="24"/>
          <w:szCs w:val="24"/>
        </w:rPr>
        <w:tab/>
      </w:r>
      <w:proofErr w:type="gramStart"/>
      <w:r w:rsidRPr="009B7EB2">
        <w:rPr>
          <w:rFonts w:ascii="Georgia" w:hAnsi="Georgia"/>
          <w:sz w:val="24"/>
          <w:szCs w:val="24"/>
        </w:rPr>
        <w:t>The</w:t>
      </w:r>
      <w:proofErr w:type="gramEnd"/>
      <w:r w:rsidRPr="009B7EB2">
        <w:rPr>
          <w:rFonts w:ascii="Georgia" w:hAnsi="Georgia"/>
          <w:sz w:val="24"/>
          <w:szCs w:val="24"/>
        </w:rPr>
        <w:t xml:space="preserve"> complaint has “apparent merit” (</w:t>
      </w:r>
      <w:r w:rsidR="00515667" w:rsidRPr="009B7EB2">
        <w:rPr>
          <w:rFonts w:ascii="Georgia" w:hAnsi="Georgia"/>
          <w:i/>
          <w:sz w:val="24"/>
          <w:szCs w:val="24"/>
        </w:rPr>
        <w:t>e.g.,</w:t>
      </w:r>
      <w:r w:rsidRPr="009B7EB2">
        <w:rPr>
          <w:rFonts w:ascii="Georgia" w:hAnsi="Georgia"/>
          <w:sz w:val="24"/>
          <w:szCs w:val="24"/>
        </w:rPr>
        <w:t xml:space="preserve"> the </w:t>
      </w:r>
      <w:r w:rsidR="003F29C2" w:rsidRPr="009B7EB2">
        <w:rPr>
          <w:rFonts w:ascii="Georgia" w:hAnsi="Georgia"/>
          <w:sz w:val="24"/>
          <w:szCs w:val="24"/>
        </w:rPr>
        <w:t>Complainant</w:t>
      </w:r>
      <w:r w:rsidRPr="009B7EB2">
        <w:rPr>
          <w:rFonts w:ascii="Georgia" w:hAnsi="Georgia"/>
          <w:sz w:val="24"/>
          <w:szCs w:val="24"/>
        </w:rPr>
        <w:t xml:space="preserve"> alleges </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ab/>
      </w:r>
      <w:r w:rsidRPr="009B7EB2">
        <w:rPr>
          <w:rFonts w:ascii="Georgia" w:hAnsi="Georgia"/>
          <w:sz w:val="24"/>
          <w:szCs w:val="24"/>
        </w:rPr>
        <w:tab/>
      </w:r>
      <w:proofErr w:type="gramStart"/>
      <w:r w:rsidRPr="009B7EB2">
        <w:rPr>
          <w:rFonts w:ascii="Georgia" w:hAnsi="Georgia"/>
          <w:sz w:val="24"/>
          <w:szCs w:val="24"/>
        </w:rPr>
        <w:t>that</w:t>
      </w:r>
      <w:proofErr w:type="gramEnd"/>
      <w:r w:rsidRPr="009B7EB2">
        <w:rPr>
          <w:rFonts w:ascii="Georgia" w:hAnsi="Georgia"/>
          <w:sz w:val="24"/>
          <w:szCs w:val="24"/>
        </w:rPr>
        <w:t xml:space="preserve"> Respondent took an “adverse action” against the</w:t>
      </w:r>
      <w:r w:rsidR="003F29C2" w:rsidRPr="009B7EB2">
        <w:rPr>
          <w:rFonts w:ascii="Georgia" w:hAnsi="Georgia"/>
          <w:sz w:val="24"/>
          <w:szCs w:val="24"/>
        </w:rPr>
        <w:t xml:space="preserve"> Complainant</w:t>
      </w:r>
    </w:p>
    <w:p w:rsidR="00F5009E" w:rsidRPr="009B7EB2" w:rsidRDefault="00F5009E" w:rsidP="00F5009E">
      <w:pPr>
        <w:spacing w:after="0"/>
        <w:ind w:left="720" w:firstLine="720"/>
        <w:jc w:val="both"/>
        <w:rPr>
          <w:rFonts w:ascii="Georgia" w:hAnsi="Georgia"/>
          <w:sz w:val="24"/>
          <w:szCs w:val="24"/>
        </w:rPr>
      </w:pPr>
      <w:proofErr w:type="gramStart"/>
      <w:r w:rsidRPr="009B7EB2">
        <w:rPr>
          <w:rFonts w:ascii="Georgia" w:hAnsi="Georgia"/>
          <w:sz w:val="24"/>
          <w:szCs w:val="24"/>
        </w:rPr>
        <w:t>due</w:t>
      </w:r>
      <w:proofErr w:type="gramEnd"/>
      <w:r w:rsidRPr="009B7EB2">
        <w:rPr>
          <w:rFonts w:ascii="Georgia" w:hAnsi="Georgia"/>
          <w:sz w:val="24"/>
          <w:szCs w:val="24"/>
        </w:rPr>
        <w:t xml:space="preserve"> to a prohibited “basis” of discrimination)</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ind w:left="720" w:firstLine="720"/>
        <w:rPr>
          <w:rFonts w:ascii="Georgia" w:hAnsi="Georgia"/>
          <w:sz w:val="24"/>
          <w:szCs w:val="24"/>
        </w:rPr>
      </w:pPr>
      <w:r w:rsidRPr="009B7EB2">
        <w:rPr>
          <w:rFonts w:ascii="Georgia" w:hAnsi="Georgia"/>
          <w:sz w:val="24"/>
          <w:szCs w:val="24"/>
        </w:rPr>
        <w:t>Brief statement of alleged “adverse action” or “issue.”</w:t>
      </w:r>
    </w:p>
    <w:p w:rsidR="00F5009E" w:rsidRPr="009B7EB2" w:rsidRDefault="00F5009E" w:rsidP="00F5009E">
      <w:pPr>
        <w:spacing w:after="0"/>
        <w:rPr>
          <w:rFonts w:ascii="Georgia" w:hAnsi="Georgia"/>
          <w:sz w:val="24"/>
          <w:szCs w:val="24"/>
        </w:rPr>
      </w:pPr>
    </w:p>
    <w:p w:rsidR="00F5009E" w:rsidRPr="009B7EB2" w:rsidRDefault="00F5009E" w:rsidP="00F5009E">
      <w:pPr>
        <w:spacing w:after="0"/>
        <w:rPr>
          <w:rFonts w:ascii="Georgia" w:hAnsi="Georgia"/>
          <w:sz w:val="24"/>
          <w:szCs w:val="24"/>
        </w:rPr>
      </w:pPr>
      <w:r w:rsidRPr="009B7EB2">
        <w:rPr>
          <w:rFonts w:ascii="Georgia" w:hAnsi="Georgia"/>
          <w:sz w:val="24"/>
          <w:szCs w:val="24"/>
        </w:rPr>
        <w:t xml:space="preserve"> </w:t>
      </w:r>
      <w:r w:rsidRPr="009B7EB2">
        <w:rPr>
          <w:rFonts w:ascii="Georgia" w:hAnsi="Georgia"/>
          <w:sz w:val="24"/>
          <w:szCs w:val="24"/>
        </w:rPr>
        <w:tab/>
      </w:r>
      <w:r w:rsidRPr="009B7EB2">
        <w:rPr>
          <w:rFonts w:ascii="Georgia" w:hAnsi="Georgia"/>
          <w:sz w:val="24"/>
          <w:szCs w:val="24"/>
        </w:rPr>
        <w:tab/>
        <w:t>_______________________________________________</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 xml:space="preserve">        </w:t>
      </w:r>
    </w:p>
    <w:p w:rsidR="00F5009E" w:rsidRPr="009B7EB2" w:rsidRDefault="00F5009E" w:rsidP="00F5009E">
      <w:pPr>
        <w:spacing w:after="0"/>
        <w:jc w:val="both"/>
        <w:rPr>
          <w:rFonts w:ascii="Georgia" w:hAnsi="Georgia"/>
          <w:sz w:val="24"/>
          <w:szCs w:val="24"/>
        </w:rPr>
      </w:pPr>
      <w:r w:rsidRPr="009B7EB2">
        <w:rPr>
          <w:rFonts w:ascii="Georgia" w:hAnsi="Georgia"/>
          <w:sz w:val="24"/>
          <w:szCs w:val="24"/>
        </w:rPr>
        <w:t>____</w:t>
      </w:r>
      <w:r w:rsidRPr="009B7EB2">
        <w:rPr>
          <w:rFonts w:ascii="Georgia" w:hAnsi="Georgia"/>
          <w:sz w:val="24"/>
          <w:szCs w:val="24"/>
        </w:rPr>
        <w:tab/>
      </w:r>
      <w:r w:rsidRPr="009B7EB2">
        <w:rPr>
          <w:rFonts w:ascii="Georgia" w:hAnsi="Georgia"/>
          <w:sz w:val="24"/>
          <w:szCs w:val="24"/>
        </w:rPr>
        <w:tab/>
      </w:r>
      <w:proofErr w:type="gramStart"/>
      <w:r w:rsidRPr="009B7EB2">
        <w:rPr>
          <w:rFonts w:ascii="Georgia" w:hAnsi="Georgia"/>
          <w:sz w:val="24"/>
          <w:szCs w:val="24"/>
        </w:rPr>
        <w:t>The</w:t>
      </w:r>
      <w:proofErr w:type="gramEnd"/>
      <w:r w:rsidRPr="009B7EB2">
        <w:rPr>
          <w:rFonts w:ascii="Georgia" w:hAnsi="Georgia"/>
          <w:sz w:val="24"/>
          <w:szCs w:val="24"/>
        </w:rPr>
        <w:t xml:space="preserve"> complaint is timely filed</w:t>
      </w:r>
    </w:p>
    <w:p w:rsidR="00F5009E" w:rsidRPr="009B7EB2" w:rsidRDefault="00F5009E" w:rsidP="00F5009E">
      <w:pPr>
        <w:spacing w:after="0"/>
        <w:jc w:val="both"/>
        <w:rPr>
          <w:rFonts w:ascii="Georgia" w:hAnsi="Georgia"/>
          <w:sz w:val="24"/>
          <w:szCs w:val="24"/>
        </w:rPr>
      </w:pPr>
    </w:p>
    <w:p w:rsidR="00F5009E" w:rsidRDefault="00F5009E" w:rsidP="00F5009E">
      <w:pPr>
        <w:spacing w:after="0"/>
        <w:jc w:val="both"/>
        <w:rPr>
          <w:rFonts w:ascii="Georgia" w:hAnsi="Georgia"/>
          <w:sz w:val="24"/>
          <w:szCs w:val="24"/>
        </w:rPr>
      </w:pPr>
      <w:r w:rsidRPr="009B7EB2">
        <w:rPr>
          <w:rFonts w:ascii="Georgia" w:hAnsi="Georgia"/>
          <w:sz w:val="24"/>
          <w:szCs w:val="24"/>
        </w:rPr>
        <w:t xml:space="preserve">  </w:t>
      </w:r>
      <w:r w:rsidRPr="009B7EB2">
        <w:rPr>
          <w:rFonts w:ascii="Georgia" w:hAnsi="Georgia"/>
          <w:sz w:val="24"/>
          <w:szCs w:val="24"/>
        </w:rPr>
        <w:tab/>
      </w:r>
      <w:r w:rsidRPr="009B7EB2">
        <w:rPr>
          <w:rFonts w:ascii="Georgia" w:hAnsi="Georgia"/>
          <w:sz w:val="24"/>
          <w:szCs w:val="24"/>
        </w:rPr>
        <w:tab/>
        <w:t xml:space="preserve">Date complaint filed:    </w:t>
      </w:r>
    </w:p>
    <w:p w:rsidR="009B7EB2" w:rsidRPr="009B7EB2" w:rsidRDefault="009B7EB2" w:rsidP="00F5009E">
      <w:pPr>
        <w:spacing w:after="0"/>
        <w:jc w:val="both"/>
        <w:rPr>
          <w:rFonts w:ascii="Georgia" w:hAnsi="Georgia"/>
          <w:sz w:val="24"/>
          <w:szCs w:val="24"/>
        </w:rPr>
      </w:pPr>
    </w:p>
    <w:p w:rsidR="00F5009E" w:rsidRPr="009B7EB2" w:rsidRDefault="00F5009E" w:rsidP="00F5009E">
      <w:pPr>
        <w:spacing w:after="0"/>
        <w:ind w:left="720" w:firstLine="720"/>
        <w:jc w:val="both"/>
        <w:rPr>
          <w:rFonts w:ascii="Georgia" w:hAnsi="Georgia"/>
          <w:sz w:val="24"/>
          <w:szCs w:val="24"/>
        </w:rPr>
      </w:pPr>
      <w:r w:rsidRPr="009B7EB2">
        <w:rPr>
          <w:rFonts w:ascii="Georgia" w:hAnsi="Georgia"/>
          <w:sz w:val="24"/>
          <w:szCs w:val="24"/>
        </w:rPr>
        <w:t xml:space="preserve">Date of alleged adverse action:  </w:t>
      </w:r>
    </w:p>
    <w:p w:rsidR="009B7EB2" w:rsidRDefault="009B7EB2" w:rsidP="00F5009E">
      <w:pPr>
        <w:spacing w:after="0"/>
        <w:ind w:left="1440"/>
        <w:jc w:val="both"/>
        <w:rPr>
          <w:rFonts w:ascii="Georgia" w:hAnsi="Georgia"/>
          <w:sz w:val="24"/>
          <w:szCs w:val="24"/>
        </w:rPr>
      </w:pPr>
    </w:p>
    <w:p w:rsidR="00F5009E" w:rsidRPr="009B7EB2" w:rsidRDefault="00515667" w:rsidP="00F5009E">
      <w:pPr>
        <w:spacing w:after="0"/>
        <w:ind w:left="1440"/>
        <w:jc w:val="both"/>
        <w:rPr>
          <w:rFonts w:ascii="Georgia" w:hAnsi="Georgia"/>
          <w:sz w:val="24"/>
          <w:szCs w:val="24"/>
        </w:rPr>
      </w:pPr>
      <w:r w:rsidRPr="009B7EB2">
        <w:rPr>
          <w:rFonts w:ascii="Georgia" w:hAnsi="Georgia"/>
          <w:sz w:val="24"/>
          <w:szCs w:val="24"/>
        </w:rPr>
        <w:lastRenderedPageBreak/>
        <w:t xml:space="preserve">The regulations require that a complaint be filed </w:t>
      </w:r>
      <w:r w:rsidR="00F5009E" w:rsidRPr="009B7EB2">
        <w:rPr>
          <w:rFonts w:ascii="Georgia" w:hAnsi="Georgia"/>
          <w:sz w:val="24"/>
          <w:szCs w:val="24"/>
        </w:rPr>
        <w:t>(received) within 180 days of the</w:t>
      </w:r>
      <w:r w:rsidRPr="009B7EB2">
        <w:rPr>
          <w:rFonts w:ascii="Georgia" w:hAnsi="Georgia"/>
          <w:sz w:val="24"/>
          <w:szCs w:val="24"/>
        </w:rPr>
        <w:t xml:space="preserve"> date of the alleged</w:t>
      </w:r>
      <w:r w:rsidR="00F5009E" w:rsidRPr="009B7EB2">
        <w:rPr>
          <w:rFonts w:ascii="Georgia" w:hAnsi="Georgia"/>
          <w:sz w:val="24"/>
          <w:szCs w:val="24"/>
        </w:rPr>
        <w:t xml:space="preserve"> </w:t>
      </w:r>
      <w:r w:rsidR="00F5009E" w:rsidRPr="009B7EB2">
        <w:rPr>
          <w:rFonts w:ascii="Georgia" w:hAnsi="Georgia"/>
          <w:i/>
          <w:sz w:val="24"/>
          <w:szCs w:val="24"/>
        </w:rPr>
        <w:t>adverse action</w:t>
      </w:r>
      <w:r w:rsidR="00F5009E" w:rsidRPr="009B7EB2">
        <w:rPr>
          <w:rFonts w:ascii="Georgia" w:hAnsi="Georgia"/>
          <w:sz w:val="24"/>
          <w:szCs w:val="24"/>
        </w:rPr>
        <w:t>.</w:t>
      </w:r>
    </w:p>
    <w:p w:rsidR="00F5009E" w:rsidRPr="009B7EB2" w:rsidRDefault="00F5009E" w:rsidP="00F5009E">
      <w:pPr>
        <w:spacing w:after="0"/>
        <w:jc w:val="both"/>
        <w:rPr>
          <w:rFonts w:ascii="Georgia" w:hAnsi="Georgia"/>
          <w:sz w:val="24"/>
          <w:szCs w:val="24"/>
        </w:rPr>
      </w:pPr>
    </w:p>
    <w:p w:rsidR="00F5009E" w:rsidRPr="009B7EB2" w:rsidRDefault="00F5009E" w:rsidP="00F5009E">
      <w:pPr>
        <w:spacing w:after="0"/>
        <w:ind w:left="1440"/>
        <w:jc w:val="both"/>
        <w:rPr>
          <w:rFonts w:ascii="Georgia" w:hAnsi="Georgia"/>
          <w:sz w:val="24"/>
          <w:szCs w:val="24"/>
        </w:rPr>
      </w:pPr>
      <w:r w:rsidRPr="009B7EB2">
        <w:rPr>
          <w:rFonts w:ascii="Georgia" w:hAnsi="Georgia"/>
          <w:sz w:val="24"/>
          <w:szCs w:val="24"/>
        </w:rPr>
        <w:t xml:space="preserve">Reviewing the complaint to determine whether it is timely </w:t>
      </w:r>
      <w:r w:rsidR="00A17552" w:rsidRPr="009B7EB2">
        <w:rPr>
          <w:rFonts w:ascii="Georgia" w:hAnsi="Georgia"/>
          <w:sz w:val="24"/>
          <w:szCs w:val="24"/>
        </w:rPr>
        <w:t xml:space="preserve">shall </w:t>
      </w:r>
      <w:r w:rsidRPr="009B7EB2">
        <w:rPr>
          <w:rFonts w:ascii="Georgia" w:hAnsi="Georgia"/>
          <w:sz w:val="24"/>
          <w:szCs w:val="24"/>
        </w:rPr>
        <w:t xml:space="preserve">be the last step.  </w:t>
      </w:r>
      <w:r w:rsidR="00A17552" w:rsidRPr="009B7EB2">
        <w:rPr>
          <w:rFonts w:ascii="Georgia" w:hAnsi="Georgia"/>
          <w:sz w:val="24"/>
          <w:szCs w:val="24"/>
        </w:rPr>
        <w:t xml:space="preserve">It would be an inefficient use of administrative resources expended by the </w:t>
      </w:r>
      <w:r w:rsidR="00515667" w:rsidRPr="009B7EB2">
        <w:rPr>
          <w:rFonts w:ascii="Georgia" w:hAnsi="Georgia"/>
          <w:sz w:val="24"/>
          <w:szCs w:val="24"/>
        </w:rPr>
        <w:t>Complainant</w:t>
      </w:r>
      <w:r w:rsidRPr="009B7EB2">
        <w:rPr>
          <w:rFonts w:ascii="Georgia" w:hAnsi="Georgia"/>
          <w:sz w:val="24"/>
          <w:szCs w:val="24"/>
        </w:rPr>
        <w:t xml:space="preserve"> </w:t>
      </w:r>
      <w:r w:rsidR="00A17552" w:rsidRPr="009B7EB2">
        <w:rPr>
          <w:rFonts w:ascii="Georgia" w:hAnsi="Georgia"/>
          <w:sz w:val="24"/>
          <w:szCs w:val="24"/>
        </w:rPr>
        <w:t>and</w:t>
      </w:r>
      <w:r w:rsidRPr="009B7EB2">
        <w:rPr>
          <w:rFonts w:ascii="Georgia" w:hAnsi="Georgia"/>
          <w:sz w:val="24"/>
          <w:szCs w:val="24"/>
        </w:rPr>
        <w:t xml:space="preserve"> the U.S. Department of Labor’s Civil Rights Center </w:t>
      </w:r>
      <w:r w:rsidR="00A17552" w:rsidRPr="009B7EB2">
        <w:rPr>
          <w:rFonts w:ascii="Georgia" w:hAnsi="Georgia"/>
          <w:sz w:val="24"/>
          <w:szCs w:val="24"/>
        </w:rPr>
        <w:t xml:space="preserve">to engage </w:t>
      </w:r>
      <w:r w:rsidRPr="009B7EB2">
        <w:rPr>
          <w:rFonts w:ascii="Georgia" w:hAnsi="Georgia"/>
          <w:sz w:val="24"/>
          <w:szCs w:val="24"/>
        </w:rPr>
        <w:t>in a waiver proceeding</w:t>
      </w:r>
      <w:r w:rsidR="00A17552" w:rsidRPr="009B7EB2">
        <w:rPr>
          <w:rFonts w:ascii="Georgia" w:hAnsi="Georgia"/>
          <w:sz w:val="24"/>
          <w:szCs w:val="24"/>
        </w:rPr>
        <w:t>,</w:t>
      </w:r>
      <w:r w:rsidRPr="009B7EB2">
        <w:rPr>
          <w:rFonts w:ascii="Georgia" w:hAnsi="Georgia"/>
          <w:sz w:val="24"/>
          <w:szCs w:val="24"/>
        </w:rPr>
        <w:t xml:space="preserve"> if the complaint does not satisfy each and every one of the other jurisdictional requirements.</w:t>
      </w:r>
    </w:p>
    <w:p w:rsidR="00A17552" w:rsidRPr="009B7EB2" w:rsidRDefault="00A17552" w:rsidP="00F5009E">
      <w:pPr>
        <w:spacing w:after="0"/>
        <w:ind w:left="1440"/>
        <w:jc w:val="both"/>
        <w:rPr>
          <w:rFonts w:ascii="Georgia" w:hAnsi="Georgia"/>
          <w:sz w:val="24"/>
          <w:szCs w:val="24"/>
        </w:rPr>
      </w:pPr>
    </w:p>
    <w:p w:rsidR="00BB4B0A" w:rsidRPr="009B7EB2" w:rsidRDefault="00A17552" w:rsidP="00A17552">
      <w:pPr>
        <w:spacing w:after="0"/>
        <w:ind w:left="1440"/>
        <w:jc w:val="both"/>
        <w:rPr>
          <w:rFonts w:ascii="Georgia" w:hAnsi="Georgia"/>
          <w:b/>
          <w:sz w:val="24"/>
          <w:szCs w:val="24"/>
        </w:rPr>
      </w:pPr>
      <w:r w:rsidRPr="009B7EB2">
        <w:rPr>
          <w:rFonts w:ascii="Georgia" w:hAnsi="Georgia"/>
          <w:sz w:val="24"/>
          <w:szCs w:val="24"/>
        </w:rPr>
        <w:t>Also, the EO Officer shall not accept “premature” complaints.  These are complaints where the administrative remedies have not been exhausted.  One example involves Unemployment Insurance (UI) benefits.  Once the C</w:t>
      </w:r>
      <w:r w:rsidR="00515667" w:rsidRPr="009B7EB2">
        <w:rPr>
          <w:rFonts w:ascii="Georgia" w:hAnsi="Georgia"/>
          <w:sz w:val="24"/>
          <w:szCs w:val="24"/>
        </w:rPr>
        <w:t>omplainant</w:t>
      </w:r>
      <w:r w:rsidRPr="009B7EB2">
        <w:rPr>
          <w:rFonts w:ascii="Georgia" w:hAnsi="Georgia"/>
          <w:sz w:val="24"/>
          <w:szCs w:val="24"/>
        </w:rPr>
        <w:t xml:space="preserve"> applies for UI benefits, the claim initially may be denied.  The C</w:t>
      </w:r>
      <w:r w:rsidR="00515667" w:rsidRPr="009B7EB2">
        <w:rPr>
          <w:rFonts w:ascii="Georgia" w:hAnsi="Georgia"/>
          <w:sz w:val="24"/>
          <w:szCs w:val="24"/>
        </w:rPr>
        <w:t>omplainant</w:t>
      </w:r>
      <w:r w:rsidRPr="009B7EB2">
        <w:rPr>
          <w:rFonts w:ascii="Georgia" w:hAnsi="Georgia"/>
          <w:sz w:val="24"/>
          <w:szCs w:val="24"/>
        </w:rPr>
        <w:t xml:space="preserve"> must follow the UI procedures for challenging the denial and, only if </w:t>
      </w:r>
      <w:r w:rsidR="00515667" w:rsidRPr="009B7EB2">
        <w:rPr>
          <w:rFonts w:ascii="Georgia" w:hAnsi="Georgia"/>
          <w:sz w:val="24"/>
          <w:szCs w:val="24"/>
        </w:rPr>
        <w:t>the Complainant is dissatisfied with the final UI decision may s/he pursue a discrimination</w:t>
      </w:r>
      <w:r w:rsidRPr="009B7EB2">
        <w:rPr>
          <w:rFonts w:ascii="Georgia" w:hAnsi="Georgia"/>
          <w:sz w:val="24"/>
          <w:szCs w:val="24"/>
        </w:rPr>
        <w:t xml:space="preserve"> complaint.</w:t>
      </w:r>
    </w:p>
    <w:sectPr w:rsidR="00BB4B0A" w:rsidRPr="009B7EB2" w:rsidSect="00BB4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2B" w:rsidRDefault="00EC762B" w:rsidP="003F29C2">
      <w:pPr>
        <w:spacing w:after="0" w:line="240" w:lineRule="auto"/>
      </w:pPr>
      <w:r>
        <w:separator/>
      </w:r>
    </w:p>
  </w:endnote>
  <w:endnote w:type="continuationSeparator" w:id="0">
    <w:p w:rsidR="00EC762B" w:rsidRDefault="00EC762B" w:rsidP="003F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2B" w:rsidRDefault="00EC762B" w:rsidP="003F29C2">
      <w:pPr>
        <w:spacing w:after="0" w:line="240" w:lineRule="auto"/>
      </w:pPr>
      <w:r>
        <w:separator/>
      </w:r>
    </w:p>
  </w:footnote>
  <w:footnote w:type="continuationSeparator" w:id="0">
    <w:p w:rsidR="00EC762B" w:rsidRDefault="00EC762B" w:rsidP="003F29C2">
      <w:pPr>
        <w:spacing w:after="0" w:line="240" w:lineRule="auto"/>
      </w:pPr>
      <w:r>
        <w:continuationSeparator/>
      </w:r>
    </w:p>
  </w:footnote>
  <w:footnote w:id="1">
    <w:p w:rsidR="003F29C2" w:rsidRPr="00CA4723" w:rsidRDefault="003F29C2" w:rsidP="003F29C2">
      <w:pPr>
        <w:pStyle w:val="FootnoteText"/>
        <w:rPr>
          <w:rFonts w:ascii="Georgia" w:hAnsi="Georgia"/>
        </w:rPr>
      </w:pPr>
      <w:r w:rsidRPr="00CA4723">
        <w:rPr>
          <w:rStyle w:val="FootnoteReference"/>
          <w:rFonts w:ascii="Georgia" w:hAnsi="Georgia"/>
        </w:rPr>
        <w:footnoteRef/>
      </w:r>
      <w:r w:rsidRPr="00CA4723">
        <w:rPr>
          <w:rFonts w:ascii="Georgia" w:hAnsi="Georgia"/>
        </w:rPr>
        <w:t>In determining jurisdiction, the regulations define “recipient” very broadly as follows:</w:t>
      </w:r>
    </w:p>
    <w:p w:rsidR="003F29C2" w:rsidRPr="00CA4723" w:rsidRDefault="003F29C2" w:rsidP="003F29C2">
      <w:pPr>
        <w:pStyle w:val="FootnoteText"/>
        <w:rPr>
          <w:rFonts w:ascii="Georgia" w:hAnsi="Georgia"/>
        </w:rPr>
      </w:pPr>
    </w:p>
    <w:p w:rsidR="003F29C2" w:rsidRPr="00CA4723" w:rsidRDefault="003F29C2" w:rsidP="003F29C2">
      <w:pPr>
        <w:pStyle w:val="FootnoteText"/>
        <w:rPr>
          <w:rFonts w:ascii="Georgia" w:hAnsi="Georgia"/>
        </w:rPr>
      </w:pPr>
      <w:r w:rsidRPr="00CA4723">
        <w:rPr>
          <w:rFonts w:ascii="Georgia" w:hAnsi="Georgia"/>
          <w:i/>
          <w:iCs/>
        </w:rPr>
        <w:t>Recipient</w:t>
      </w:r>
      <w:r w:rsidRPr="00CA4723">
        <w:rPr>
          <w:rFonts w:ascii="Georgia" w:hAnsi="Georgia"/>
        </w:rPr>
        <w:t> means entity to which financial assistance under Title I of WIOA is extended, directly from the Department or through the Governor or another recipient (including any successor, assignee, or transferee of a recipient). . . . In instances in which a Governor operates a program or activity, either directly or through a State agency, using discretionary funds apportioned to the Governor under WIOA Title I (rather than disbursing the funds to another recipient), the Governor is also a recipient. In addition, for purposes of this part, one-stop partners, as defined in section 121(b) of WIOA, are treated as “recipients,” and are subject to the nondiscrimination and equal opportunity requirements of this part, to the extent that they participate in the one-stop delivery system. “Recipient” includes, but is not limited to:</w:t>
      </w:r>
    </w:p>
    <w:p w:rsidR="003F29C2" w:rsidRPr="00CA4723" w:rsidRDefault="003F29C2" w:rsidP="003F29C2">
      <w:pPr>
        <w:pStyle w:val="FootnoteText"/>
        <w:rPr>
          <w:rFonts w:ascii="Georgia" w:hAnsi="Georgia"/>
        </w:rPr>
      </w:pPr>
      <w:r w:rsidRPr="00CA4723">
        <w:rPr>
          <w:rFonts w:ascii="Georgia" w:hAnsi="Georgia"/>
        </w:rPr>
        <w:t>(1) State-level agencies that administer, or are financed in whole or in part with, WIOA Title I funds;</w:t>
      </w:r>
    </w:p>
    <w:p w:rsidR="003F29C2" w:rsidRPr="00CA4723" w:rsidRDefault="003F29C2" w:rsidP="003F29C2">
      <w:pPr>
        <w:pStyle w:val="FootnoteText"/>
        <w:rPr>
          <w:rFonts w:ascii="Georgia" w:hAnsi="Georgia"/>
        </w:rPr>
      </w:pPr>
      <w:r w:rsidRPr="00CA4723">
        <w:rPr>
          <w:rFonts w:ascii="Georgia" w:hAnsi="Georgia"/>
        </w:rPr>
        <w:t>(2) State Workforce Agencies;</w:t>
      </w:r>
    </w:p>
    <w:p w:rsidR="003F29C2" w:rsidRPr="00CA4723" w:rsidRDefault="003F29C2" w:rsidP="003F29C2">
      <w:pPr>
        <w:pStyle w:val="FootnoteText"/>
        <w:rPr>
          <w:rFonts w:ascii="Georgia" w:hAnsi="Georgia"/>
        </w:rPr>
      </w:pPr>
      <w:r w:rsidRPr="00CA4723">
        <w:rPr>
          <w:rFonts w:ascii="Georgia" w:hAnsi="Georgia"/>
        </w:rPr>
        <w:t>(3) State and Local Workforce Development Boards;</w:t>
      </w:r>
    </w:p>
    <w:p w:rsidR="003F29C2" w:rsidRPr="00CA4723" w:rsidRDefault="003F29C2" w:rsidP="003F29C2">
      <w:pPr>
        <w:pStyle w:val="FootnoteText"/>
        <w:rPr>
          <w:rFonts w:ascii="Georgia" w:hAnsi="Georgia"/>
        </w:rPr>
      </w:pPr>
      <w:r w:rsidRPr="00CA4723">
        <w:rPr>
          <w:rFonts w:ascii="Georgia" w:hAnsi="Georgia"/>
        </w:rPr>
        <w:t>(4) LWDA grant recipients;</w:t>
      </w:r>
    </w:p>
    <w:p w:rsidR="003F29C2" w:rsidRPr="00CA4723" w:rsidRDefault="003F29C2" w:rsidP="003F29C2">
      <w:pPr>
        <w:pStyle w:val="FootnoteText"/>
        <w:rPr>
          <w:rFonts w:ascii="Georgia" w:hAnsi="Georgia"/>
        </w:rPr>
      </w:pPr>
      <w:r w:rsidRPr="00CA4723">
        <w:rPr>
          <w:rFonts w:ascii="Georgia" w:hAnsi="Georgia"/>
        </w:rPr>
        <w:t>(5) One-stop operators;</w:t>
      </w:r>
    </w:p>
    <w:p w:rsidR="003F29C2" w:rsidRPr="00CA4723" w:rsidRDefault="003F29C2" w:rsidP="003F29C2">
      <w:pPr>
        <w:pStyle w:val="FootnoteText"/>
        <w:rPr>
          <w:rFonts w:ascii="Georgia" w:hAnsi="Georgia"/>
        </w:rPr>
      </w:pPr>
      <w:r w:rsidRPr="00CA4723">
        <w:rPr>
          <w:rFonts w:ascii="Georgia" w:hAnsi="Georgia"/>
        </w:rPr>
        <w:t>(6) Service providers, including eligible training providers;</w:t>
      </w:r>
    </w:p>
    <w:p w:rsidR="003F29C2" w:rsidRPr="00CA4723" w:rsidRDefault="003F29C2" w:rsidP="003F29C2">
      <w:pPr>
        <w:pStyle w:val="FootnoteText"/>
        <w:rPr>
          <w:rFonts w:ascii="Georgia" w:hAnsi="Georgia"/>
        </w:rPr>
      </w:pPr>
      <w:r w:rsidRPr="00CA4723">
        <w:rPr>
          <w:rFonts w:ascii="Georgia" w:hAnsi="Georgia"/>
        </w:rPr>
        <w:t>(7) On-the-Job Training (OJT) employers;</w:t>
      </w:r>
    </w:p>
    <w:p w:rsidR="003F29C2" w:rsidRPr="00CA4723" w:rsidRDefault="003F29C2" w:rsidP="003F29C2">
      <w:pPr>
        <w:pStyle w:val="FootnoteText"/>
        <w:rPr>
          <w:rFonts w:ascii="Georgia" w:hAnsi="Georgia"/>
        </w:rPr>
      </w:pPr>
      <w:r w:rsidRPr="00CA4723">
        <w:rPr>
          <w:rFonts w:ascii="Georgia" w:hAnsi="Georgia"/>
        </w:rPr>
        <w:t>(8) Job Corps contractors and center operators;</w:t>
      </w:r>
    </w:p>
    <w:p w:rsidR="003F29C2" w:rsidRPr="00CA4723" w:rsidRDefault="003F29C2" w:rsidP="003F29C2">
      <w:pPr>
        <w:pStyle w:val="FootnoteText"/>
        <w:rPr>
          <w:rFonts w:ascii="Georgia" w:hAnsi="Georgia"/>
        </w:rPr>
      </w:pPr>
      <w:r w:rsidRPr="00CA4723">
        <w:rPr>
          <w:rFonts w:ascii="Georgia" w:hAnsi="Georgia"/>
        </w:rPr>
        <w:t>(9) Job Corps national training contractors;</w:t>
      </w:r>
    </w:p>
    <w:p w:rsidR="003F29C2" w:rsidRPr="00CA4723" w:rsidRDefault="003F29C2" w:rsidP="003F29C2">
      <w:pPr>
        <w:pStyle w:val="FootnoteText"/>
        <w:rPr>
          <w:rFonts w:ascii="Georgia" w:hAnsi="Georgia"/>
        </w:rPr>
      </w:pPr>
      <w:r w:rsidRPr="00CA4723">
        <w:rPr>
          <w:rFonts w:ascii="Georgia" w:hAnsi="Georgia"/>
        </w:rPr>
        <w:t>(10) Outreach and admissions agencies, including Job Corps contractors that perform these functions;</w:t>
      </w:r>
    </w:p>
    <w:p w:rsidR="003F29C2" w:rsidRPr="00CA4723" w:rsidRDefault="003F29C2" w:rsidP="003F29C2">
      <w:pPr>
        <w:pStyle w:val="FootnoteText"/>
        <w:rPr>
          <w:rFonts w:ascii="Georgia" w:hAnsi="Georgia"/>
        </w:rPr>
      </w:pPr>
      <w:r w:rsidRPr="00CA4723">
        <w:rPr>
          <w:rFonts w:ascii="Georgia" w:hAnsi="Georgia"/>
        </w:rPr>
        <w:t>(11) Placement agencies, including Job Corps contractors that perform these functions;</w:t>
      </w:r>
    </w:p>
    <w:p w:rsidR="003F29C2" w:rsidRPr="00CA4723" w:rsidRDefault="003F29C2" w:rsidP="003F29C2">
      <w:pPr>
        <w:pStyle w:val="FootnoteText"/>
        <w:rPr>
          <w:rFonts w:ascii="Georgia" w:hAnsi="Georgia"/>
        </w:rPr>
      </w:pPr>
      <w:r w:rsidRPr="00CA4723">
        <w:rPr>
          <w:rFonts w:ascii="Georgia" w:hAnsi="Georgia"/>
        </w:rPr>
        <w:t>(12) Other National Program recipients.</w:t>
      </w:r>
    </w:p>
    <w:p w:rsidR="003F29C2" w:rsidRPr="00CA4723" w:rsidRDefault="003F29C2" w:rsidP="003F29C2">
      <w:pPr>
        <w:pStyle w:val="FootnoteText"/>
        <w:rPr>
          <w:rFonts w:ascii="Georgia" w:hAnsi="Georgia"/>
          <w:b/>
        </w:rPr>
      </w:pPr>
    </w:p>
    <w:p w:rsidR="003F29C2" w:rsidRPr="009B7EB2" w:rsidRDefault="003F29C2">
      <w:pPr>
        <w:pStyle w:val="FootnoteText"/>
        <w:rPr>
          <w:rFonts w:ascii="Georgia" w:hAnsi="Georgia"/>
        </w:rPr>
      </w:pPr>
      <w:r w:rsidRPr="009B7EB2">
        <w:rPr>
          <w:rFonts w:ascii="Georgia" w:hAnsi="Georgia"/>
        </w:rPr>
        <w:t>Recipients include “one-stop partners” as defined at Section 121(b) of WIOA, but the “ultimate beneficiary” of a WIOA Title I program or activity is not a “recipient.” 29 C.F.R. 38.4(</w:t>
      </w:r>
      <w:proofErr w:type="spellStart"/>
      <w:r w:rsidRPr="009B7EB2">
        <w:rPr>
          <w:rFonts w:ascii="Georgia" w:hAnsi="Georgia"/>
        </w:rPr>
        <w:t>zz</w:t>
      </w:r>
      <w:proofErr w:type="spellEnd"/>
      <w:r w:rsidRPr="009B7EB2">
        <w:rPr>
          <w:rFonts w:ascii="Georgia" w:hAnsi="Georg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02"/>
    <w:rsid w:val="00242002"/>
    <w:rsid w:val="003E3D55"/>
    <w:rsid w:val="003F29C2"/>
    <w:rsid w:val="004751BE"/>
    <w:rsid w:val="00515667"/>
    <w:rsid w:val="00554F7D"/>
    <w:rsid w:val="00783683"/>
    <w:rsid w:val="00791BE4"/>
    <w:rsid w:val="00867A23"/>
    <w:rsid w:val="0093005E"/>
    <w:rsid w:val="009B7EB2"/>
    <w:rsid w:val="00A17552"/>
    <w:rsid w:val="00A40588"/>
    <w:rsid w:val="00AD6F9C"/>
    <w:rsid w:val="00BB4B0A"/>
    <w:rsid w:val="00C15AA2"/>
    <w:rsid w:val="00CA4723"/>
    <w:rsid w:val="00EC762B"/>
    <w:rsid w:val="00F22942"/>
    <w:rsid w:val="00F5009E"/>
    <w:rsid w:val="00F7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02"/>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F2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9C2"/>
    <w:rPr>
      <w:sz w:val="20"/>
      <w:szCs w:val="20"/>
    </w:rPr>
  </w:style>
  <w:style w:type="character" w:styleId="FootnoteReference">
    <w:name w:val="footnote reference"/>
    <w:basedOn w:val="DefaultParagraphFont"/>
    <w:uiPriority w:val="99"/>
    <w:semiHidden/>
    <w:unhideWhenUsed/>
    <w:rsid w:val="003F29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02"/>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F2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9C2"/>
    <w:rPr>
      <w:sz w:val="20"/>
      <w:szCs w:val="20"/>
    </w:rPr>
  </w:style>
  <w:style w:type="character" w:styleId="FootnoteReference">
    <w:name w:val="footnote reference"/>
    <w:basedOn w:val="DefaultParagraphFont"/>
    <w:uiPriority w:val="99"/>
    <w:semiHidden/>
    <w:unhideWhenUsed/>
    <w:rsid w:val="003F2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7245-F34F-409F-BFAB-51C64A8A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2</cp:revision>
  <cp:lastPrinted>2013-01-04T17:16:00Z</cp:lastPrinted>
  <dcterms:created xsi:type="dcterms:W3CDTF">2019-05-06T16:06:00Z</dcterms:created>
  <dcterms:modified xsi:type="dcterms:W3CDTF">2019-05-06T16:06:00Z</dcterms:modified>
</cp:coreProperties>
</file>