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64" w:rsidRDefault="007B7564" w:rsidP="00C210FD">
      <w:pPr>
        <w:spacing w:after="0" w:line="240" w:lineRule="auto"/>
        <w:jc w:val="both"/>
        <w:rPr>
          <w:rFonts w:ascii="Georgia" w:eastAsia="Times New Roman" w:hAnsi="Georgia" w:cs="Arial"/>
          <w:b/>
          <w:color w:val="000000"/>
          <w:sz w:val="28"/>
          <w:szCs w:val="28"/>
        </w:rPr>
      </w:pPr>
    </w:p>
    <w:p w:rsidR="0064596C" w:rsidRDefault="0064596C" w:rsidP="0064596C">
      <w:pPr>
        <w:spacing w:after="0" w:line="240" w:lineRule="auto"/>
        <w:jc w:val="center"/>
        <w:rPr>
          <w:rFonts w:ascii="Georgia" w:hAnsi="Georgia" w:cs="Times New Roman"/>
          <w:b/>
          <w:bCs/>
          <w:smallCaps/>
          <w:color w:val="002060"/>
          <w:sz w:val="40"/>
          <w:szCs w:val="40"/>
        </w:rPr>
      </w:pPr>
    </w:p>
    <w:p w:rsidR="007106E8" w:rsidRPr="0012482F" w:rsidRDefault="007106E8" w:rsidP="0064596C">
      <w:pPr>
        <w:spacing w:after="0" w:line="240" w:lineRule="auto"/>
        <w:jc w:val="center"/>
        <w:rPr>
          <w:rFonts w:ascii="Georgia" w:hAnsi="Georgia" w:cs="Times New Roman"/>
          <w:b/>
          <w:bCs/>
          <w:smallCaps/>
          <w:color w:val="002060"/>
          <w:sz w:val="40"/>
          <w:szCs w:val="40"/>
        </w:rPr>
      </w:pPr>
      <w:r>
        <w:rPr>
          <w:rFonts w:ascii="Georgia" w:hAnsi="Georgia" w:cs="Times New Roman"/>
          <w:b/>
          <w:bCs/>
          <w:smallCaps/>
          <w:color w:val="002060"/>
          <w:sz w:val="40"/>
          <w:szCs w:val="40"/>
        </w:rPr>
        <w:t xml:space="preserve">Monitoring </w:t>
      </w:r>
      <w:r w:rsidRPr="0012482F">
        <w:rPr>
          <w:rFonts w:ascii="Georgia" w:hAnsi="Georgia" w:cs="Times New Roman"/>
          <w:b/>
          <w:bCs/>
          <w:smallCaps/>
          <w:color w:val="002060"/>
          <w:sz w:val="40"/>
          <w:szCs w:val="40"/>
        </w:rPr>
        <w:t>Policy</w:t>
      </w:r>
    </w:p>
    <w:p w:rsidR="007106E8" w:rsidRPr="00A66D58" w:rsidRDefault="007106E8" w:rsidP="007106E8">
      <w:pPr>
        <w:pStyle w:val="Title"/>
        <w:jc w:val="center"/>
        <w:rPr>
          <w:rFonts w:ascii="Georgia" w:eastAsia="Times New Roman" w:hAnsi="Georgia" w:cs="Arial"/>
          <w:sz w:val="24"/>
          <w:szCs w:val="24"/>
        </w:rPr>
      </w:pPr>
      <w:r w:rsidRPr="00A66D58">
        <w:rPr>
          <w:rFonts w:ascii="Georgia" w:eastAsia="Times New Roman" w:hAnsi="Georgia" w:cs="Arial"/>
          <w:sz w:val="24"/>
          <w:szCs w:val="24"/>
        </w:rPr>
        <w:t>Implementing Section 188 of the Workforce Innovation and Opportunity Act of 2014</w:t>
      </w:r>
    </w:p>
    <w:p w:rsidR="00C210FD" w:rsidRPr="00A66D58" w:rsidRDefault="00C210FD" w:rsidP="00C210FD">
      <w:pPr>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These policies and procedures govern </w:t>
      </w:r>
      <w:r>
        <w:rPr>
          <w:rFonts w:ascii="Georgia" w:eastAsia="Times New Roman" w:hAnsi="Georgia" w:cs="Arial"/>
          <w:color w:val="000000"/>
          <w:sz w:val="28"/>
          <w:szCs w:val="28"/>
        </w:rPr>
        <w:t xml:space="preserve">monitoring </w:t>
      </w:r>
      <w:r w:rsidRPr="00A66D58">
        <w:rPr>
          <w:rFonts w:ascii="Georgia" w:eastAsia="Times New Roman" w:hAnsi="Georgia" w:cs="Arial"/>
          <w:color w:val="000000"/>
          <w:sz w:val="28"/>
          <w:szCs w:val="28"/>
        </w:rPr>
        <w:t>under Section 188 of the Workforce Innovation and Opportunity Act (WIOA) at 29 U.S.C. § 3248, as implemented by 29 C.F.R. §§ 38.</w:t>
      </w:r>
      <w:r w:rsidR="007B7564">
        <w:rPr>
          <w:rFonts w:ascii="Georgia" w:eastAsia="Times New Roman" w:hAnsi="Georgia" w:cs="Arial"/>
          <w:color w:val="000000"/>
          <w:sz w:val="28"/>
          <w:szCs w:val="28"/>
        </w:rPr>
        <w:t>51</w:t>
      </w:r>
      <w:r w:rsidRPr="00A66D58">
        <w:rPr>
          <w:rFonts w:ascii="Georgia" w:eastAsia="Times New Roman" w:hAnsi="Georgia" w:cs="Arial"/>
          <w:color w:val="000000"/>
          <w:sz w:val="28"/>
          <w:szCs w:val="28"/>
        </w:rPr>
        <w:t>-38.</w:t>
      </w:r>
      <w:r w:rsidR="007B7564">
        <w:rPr>
          <w:rFonts w:ascii="Georgia" w:eastAsia="Times New Roman" w:hAnsi="Georgia" w:cs="Arial"/>
          <w:color w:val="000000"/>
          <w:sz w:val="28"/>
          <w:szCs w:val="28"/>
        </w:rPr>
        <w:t>52</w:t>
      </w:r>
      <w:r w:rsidRPr="00A66D58">
        <w:rPr>
          <w:rFonts w:ascii="Georgia" w:eastAsia="Times New Roman" w:hAnsi="Georgia" w:cs="Arial"/>
          <w:color w:val="000000"/>
          <w:sz w:val="28"/>
          <w:szCs w:val="28"/>
        </w:rPr>
        <w:t xml:space="preserve">. </w:t>
      </w:r>
      <w:r>
        <w:rPr>
          <w:rFonts w:ascii="Georgia" w:eastAsia="Times New Roman" w:hAnsi="Georgia" w:cs="Arial"/>
          <w:color w:val="000000"/>
          <w:sz w:val="28"/>
          <w:szCs w:val="28"/>
        </w:rPr>
        <w:t xml:space="preserve">Monitoring serves the purpose of ensuring that WIOA Title I-programs and activities are conducted in compliance </w:t>
      </w:r>
      <w:r w:rsidRPr="00A66D58">
        <w:rPr>
          <w:rFonts w:ascii="Georgia" w:eastAsia="Times New Roman" w:hAnsi="Georgia" w:cs="Arial"/>
          <w:color w:val="000000"/>
          <w:sz w:val="28"/>
          <w:szCs w:val="28"/>
        </w:rPr>
        <w:t>with:</w:t>
      </w:r>
    </w:p>
    <w:p w:rsidR="00C210FD" w:rsidRPr="00A66D58" w:rsidRDefault="00C210FD" w:rsidP="00C210FD">
      <w:pPr>
        <w:spacing w:after="0" w:line="240" w:lineRule="auto"/>
        <w:jc w:val="both"/>
        <w:rPr>
          <w:rFonts w:ascii="Georgia" w:eastAsia="Times New Roman" w:hAnsi="Georgia" w:cs="Arial"/>
          <w:color w:val="000000"/>
          <w:sz w:val="28"/>
          <w:szCs w:val="28"/>
        </w:rPr>
      </w:pPr>
    </w:p>
    <w:p w:rsidR="00C210FD" w:rsidRPr="00A66D58" w:rsidRDefault="00C210FD" w:rsidP="00C210FD">
      <w:pPr>
        <w:spacing w:after="0" w:line="240" w:lineRule="auto"/>
        <w:ind w:left="720" w:right="720"/>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WIOA Section 188, which prohibits discrimination against all individuals in the United States on the basis of race, color, religion, sex (including pregnancy, childbirth, and related medical conditions, transgender status, and gender identity), national origin (including limited English proficiency), age, disability, or political affiliation or belief, or against beneficiaries on the basis of either citizenship status or participation in any WIOA Title I-financially assisted program or activity;</w:t>
      </w:r>
    </w:p>
    <w:p w:rsidR="00C210FD" w:rsidRPr="00A66D58" w:rsidRDefault="00C210FD" w:rsidP="00C210FD">
      <w:pPr>
        <w:shd w:val="clear" w:color="auto" w:fill="FFFFFF"/>
        <w:spacing w:after="0" w:line="240" w:lineRule="auto"/>
        <w:ind w:left="720" w:right="720"/>
        <w:jc w:val="both"/>
        <w:rPr>
          <w:rFonts w:ascii="Georgia" w:eastAsia="Times New Roman" w:hAnsi="Georgia" w:cs="Arial"/>
          <w:color w:val="000000"/>
          <w:sz w:val="28"/>
          <w:szCs w:val="28"/>
        </w:rPr>
      </w:pPr>
    </w:p>
    <w:p w:rsidR="00C210FD" w:rsidRPr="00A66D58" w:rsidRDefault="00C210FD" w:rsidP="00C210FD">
      <w:pPr>
        <w:shd w:val="clear" w:color="auto" w:fill="FFFFFF"/>
        <w:spacing w:after="0" w:line="240" w:lineRule="auto"/>
        <w:ind w:left="720" w:right="720"/>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Title VI of the Civil Rights Act of 1964, 42 U.S.C. § 2000d </w:t>
      </w:r>
      <w:r w:rsidRPr="00A66D58">
        <w:rPr>
          <w:rFonts w:ascii="Georgia" w:eastAsia="Times New Roman" w:hAnsi="Georgia" w:cs="Arial"/>
          <w:i/>
          <w:color w:val="000000"/>
          <w:sz w:val="28"/>
          <w:szCs w:val="28"/>
        </w:rPr>
        <w:t>et seq.</w:t>
      </w:r>
      <w:r w:rsidRPr="00A66D58">
        <w:rPr>
          <w:rFonts w:ascii="Georgia" w:eastAsia="Times New Roman" w:hAnsi="Georgia" w:cs="Arial"/>
          <w:color w:val="000000"/>
          <w:sz w:val="28"/>
          <w:szCs w:val="28"/>
        </w:rPr>
        <w:t>, as amended, which prohibits discrimination on the bases of race, color and national origin;</w:t>
      </w:r>
    </w:p>
    <w:p w:rsidR="00C210FD" w:rsidRPr="00A66D58" w:rsidRDefault="00C210FD" w:rsidP="00C210FD">
      <w:pPr>
        <w:shd w:val="clear" w:color="auto" w:fill="FFFFFF"/>
        <w:spacing w:after="0" w:line="240" w:lineRule="auto"/>
        <w:ind w:left="720" w:right="720"/>
        <w:jc w:val="both"/>
        <w:rPr>
          <w:rFonts w:ascii="Georgia" w:eastAsia="Times New Roman" w:hAnsi="Georgia" w:cs="Arial"/>
          <w:color w:val="000000"/>
          <w:sz w:val="28"/>
          <w:szCs w:val="28"/>
        </w:rPr>
      </w:pPr>
    </w:p>
    <w:p w:rsidR="00C210FD" w:rsidRPr="00A66D58" w:rsidRDefault="00C210FD" w:rsidP="00C210FD">
      <w:pPr>
        <w:shd w:val="clear" w:color="auto" w:fill="FFFFFF"/>
        <w:spacing w:after="0" w:line="240" w:lineRule="auto"/>
        <w:ind w:left="720" w:right="720"/>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Section 504 of the Rehabilitation Act of 1973, 29 U.S.C. § 794 </w:t>
      </w:r>
      <w:r w:rsidRPr="00A66D58">
        <w:rPr>
          <w:rFonts w:ascii="Georgia" w:eastAsia="Times New Roman" w:hAnsi="Georgia" w:cs="Arial"/>
          <w:i/>
          <w:color w:val="000000"/>
          <w:sz w:val="28"/>
          <w:szCs w:val="28"/>
        </w:rPr>
        <w:t>et seq.</w:t>
      </w:r>
      <w:r w:rsidRPr="00A66D58">
        <w:rPr>
          <w:rFonts w:ascii="Georgia" w:eastAsia="Times New Roman" w:hAnsi="Georgia" w:cs="Arial"/>
          <w:color w:val="000000"/>
          <w:sz w:val="28"/>
          <w:szCs w:val="28"/>
        </w:rPr>
        <w:t>, as amended, which prohibits discrimination against qualified individuals with disabilities;</w:t>
      </w:r>
    </w:p>
    <w:p w:rsidR="00C210FD" w:rsidRPr="00A66D58" w:rsidRDefault="00C210FD" w:rsidP="00C210FD">
      <w:pPr>
        <w:shd w:val="clear" w:color="auto" w:fill="FFFFFF"/>
        <w:spacing w:after="0" w:line="240" w:lineRule="auto"/>
        <w:ind w:left="720" w:right="720"/>
        <w:jc w:val="both"/>
        <w:rPr>
          <w:rFonts w:ascii="Georgia" w:eastAsia="Times New Roman" w:hAnsi="Georgia" w:cs="Arial"/>
          <w:color w:val="000000"/>
          <w:sz w:val="28"/>
          <w:szCs w:val="28"/>
        </w:rPr>
      </w:pPr>
    </w:p>
    <w:p w:rsidR="00C210FD" w:rsidRPr="00A66D58" w:rsidRDefault="00C210FD" w:rsidP="00C210FD">
      <w:pPr>
        <w:shd w:val="clear" w:color="auto" w:fill="FFFFFF"/>
        <w:spacing w:after="0" w:line="240" w:lineRule="auto"/>
        <w:ind w:left="720" w:right="720"/>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The Age Discrimination Act of 1975, 42 U.S.C. § 6101 </w:t>
      </w:r>
      <w:r w:rsidRPr="00A66D58">
        <w:rPr>
          <w:rFonts w:ascii="Georgia" w:eastAsia="Times New Roman" w:hAnsi="Georgia" w:cs="Arial"/>
          <w:i/>
          <w:color w:val="000000"/>
          <w:sz w:val="28"/>
          <w:szCs w:val="28"/>
        </w:rPr>
        <w:t>et seq.</w:t>
      </w:r>
      <w:r w:rsidRPr="00A66D58">
        <w:rPr>
          <w:rFonts w:ascii="Georgia" w:eastAsia="Times New Roman" w:hAnsi="Georgia" w:cs="Arial"/>
          <w:color w:val="000000"/>
          <w:sz w:val="28"/>
          <w:szCs w:val="28"/>
        </w:rPr>
        <w:t>, as amended, which prohibits discrimination on the basis of age; and</w:t>
      </w:r>
    </w:p>
    <w:p w:rsidR="00C210FD" w:rsidRPr="00A66D58" w:rsidRDefault="00C210FD" w:rsidP="00C210FD">
      <w:pPr>
        <w:shd w:val="clear" w:color="auto" w:fill="FFFFFF"/>
        <w:spacing w:after="0" w:line="240" w:lineRule="auto"/>
        <w:ind w:left="720" w:right="720"/>
        <w:jc w:val="both"/>
        <w:rPr>
          <w:rFonts w:ascii="Georgia" w:eastAsia="Times New Roman" w:hAnsi="Georgia" w:cs="Arial"/>
          <w:color w:val="000000"/>
          <w:sz w:val="28"/>
          <w:szCs w:val="28"/>
        </w:rPr>
      </w:pPr>
    </w:p>
    <w:p w:rsidR="00C210FD" w:rsidRPr="00A66D58" w:rsidRDefault="00C210FD" w:rsidP="00C210FD">
      <w:pPr>
        <w:shd w:val="clear" w:color="auto" w:fill="FFFFFF"/>
        <w:spacing w:after="0" w:line="240" w:lineRule="auto"/>
        <w:ind w:left="720" w:right="720"/>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Title IX of the Education Amendments of 1972, 29 U.S.C. § 1681 </w:t>
      </w:r>
      <w:r w:rsidRPr="00A66D58">
        <w:rPr>
          <w:rFonts w:ascii="Georgia" w:eastAsia="Times New Roman" w:hAnsi="Georgia" w:cs="Arial"/>
          <w:i/>
          <w:color w:val="000000"/>
          <w:sz w:val="28"/>
          <w:szCs w:val="28"/>
        </w:rPr>
        <w:t>et seq.</w:t>
      </w:r>
      <w:r w:rsidRPr="00A66D58">
        <w:rPr>
          <w:rFonts w:ascii="Georgia" w:eastAsia="Times New Roman" w:hAnsi="Georgia" w:cs="Arial"/>
          <w:color w:val="000000"/>
          <w:sz w:val="28"/>
          <w:szCs w:val="28"/>
        </w:rPr>
        <w:t>, as amended, which prohibits discrimination on the basis of sex in educational programs.</w:t>
      </w:r>
    </w:p>
    <w:p w:rsidR="00C210FD" w:rsidRPr="00A66D58" w:rsidRDefault="00C210FD" w:rsidP="00C210FD">
      <w:pPr>
        <w:shd w:val="clear" w:color="auto" w:fill="FFFFFF"/>
        <w:spacing w:after="0" w:line="240" w:lineRule="auto"/>
        <w:jc w:val="both"/>
        <w:rPr>
          <w:rFonts w:ascii="Georgia" w:eastAsia="Times New Roman" w:hAnsi="Georgia" w:cs="Arial"/>
          <w:color w:val="000000"/>
          <w:sz w:val="28"/>
          <w:szCs w:val="28"/>
        </w:rPr>
      </w:pPr>
    </w:p>
    <w:p w:rsidR="00C210FD" w:rsidRDefault="00C210FD" w:rsidP="00F10865">
      <w:pPr>
        <w:pStyle w:val="Default"/>
        <w:rPr>
          <w:rFonts w:ascii="Georgia" w:hAnsi="Georgia"/>
          <w:b/>
          <w:bCs/>
          <w:sz w:val="28"/>
          <w:szCs w:val="28"/>
        </w:rPr>
      </w:pPr>
      <w:r>
        <w:rPr>
          <w:rFonts w:ascii="Georgia" w:hAnsi="Georgia"/>
          <w:b/>
          <w:bCs/>
          <w:sz w:val="28"/>
          <w:szCs w:val="28"/>
        </w:rPr>
        <w:t>Overview</w:t>
      </w:r>
    </w:p>
    <w:p w:rsidR="00F10865" w:rsidRPr="00C210FD" w:rsidRDefault="00F10865" w:rsidP="00F10865">
      <w:pPr>
        <w:pStyle w:val="Default"/>
        <w:rPr>
          <w:rFonts w:ascii="Georgia" w:hAnsi="Georgia"/>
          <w:sz w:val="28"/>
          <w:szCs w:val="28"/>
        </w:rPr>
      </w:pPr>
      <w:r w:rsidRPr="00C210FD">
        <w:rPr>
          <w:rFonts w:ascii="Georgia" w:hAnsi="Georgia"/>
          <w:b/>
          <w:bCs/>
          <w:sz w:val="28"/>
          <w:szCs w:val="28"/>
        </w:rPr>
        <w:t xml:space="preserve"> </w:t>
      </w:r>
    </w:p>
    <w:p w:rsidR="00C210FD" w:rsidRDefault="00F10865" w:rsidP="00F10865">
      <w:pPr>
        <w:pStyle w:val="Default"/>
        <w:rPr>
          <w:rFonts w:ascii="Georgia" w:hAnsi="Georgia"/>
          <w:sz w:val="28"/>
          <w:szCs w:val="28"/>
        </w:rPr>
      </w:pPr>
      <w:r w:rsidRPr="00C210FD">
        <w:rPr>
          <w:rFonts w:ascii="Georgia" w:hAnsi="Georgia"/>
          <w:sz w:val="28"/>
          <w:szCs w:val="28"/>
        </w:rPr>
        <w:t xml:space="preserve">At minimum, each </w:t>
      </w:r>
      <w:r w:rsidR="00C210FD">
        <w:rPr>
          <w:rFonts w:ascii="Georgia" w:hAnsi="Georgia"/>
          <w:sz w:val="28"/>
          <w:szCs w:val="28"/>
        </w:rPr>
        <w:t>annual</w:t>
      </w:r>
      <w:r w:rsidRPr="00C210FD">
        <w:rPr>
          <w:rFonts w:ascii="Georgia" w:hAnsi="Georgia"/>
          <w:sz w:val="28"/>
          <w:szCs w:val="28"/>
        </w:rPr>
        <w:t xml:space="preserve"> monitoring review will include</w:t>
      </w:r>
      <w:r w:rsidR="00C210FD">
        <w:rPr>
          <w:rFonts w:ascii="Georgia" w:hAnsi="Georgia"/>
          <w:sz w:val="28"/>
          <w:szCs w:val="28"/>
        </w:rPr>
        <w:t xml:space="preserve"> the following</w:t>
      </w:r>
      <w:r w:rsidRPr="00C210FD">
        <w:rPr>
          <w:rFonts w:ascii="Georgia" w:hAnsi="Georgia"/>
          <w:sz w:val="28"/>
          <w:szCs w:val="28"/>
        </w:rPr>
        <w:t>:</w:t>
      </w:r>
    </w:p>
    <w:p w:rsidR="00F10865" w:rsidRPr="00C210FD" w:rsidRDefault="00F10865" w:rsidP="00F10865">
      <w:pPr>
        <w:pStyle w:val="Default"/>
        <w:rPr>
          <w:rFonts w:ascii="Georgia" w:hAnsi="Georgia"/>
          <w:sz w:val="28"/>
          <w:szCs w:val="28"/>
        </w:rPr>
      </w:pPr>
      <w:r w:rsidRPr="00C210FD">
        <w:rPr>
          <w:rFonts w:ascii="Georgia" w:hAnsi="Georgia"/>
          <w:sz w:val="28"/>
          <w:szCs w:val="28"/>
        </w:rPr>
        <w:lastRenderedPageBreak/>
        <w:t xml:space="preserve"> </w:t>
      </w:r>
    </w:p>
    <w:p w:rsidR="00C210FD" w:rsidRDefault="00F10865" w:rsidP="00946C54">
      <w:pPr>
        <w:pStyle w:val="Default"/>
        <w:numPr>
          <w:ilvl w:val="0"/>
          <w:numId w:val="2"/>
        </w:numPr>
        <w:spacing w:after="17"/>
        <w:jc w:val="both"/>
        <w:rPr>
          <w:rFonts w:ascii="Georgia" w:hAnsi="Georgia"/>
          <w:sz w:val="28"/>
          <w:szCs w:val="28"/>
        </w:rPr>
      </w:pPr>
      <w:r w:rsidRPr="00C210FD">
        <w:rPr>
          <w:rFonts w:ascii="Georgia" w:hAnsi="Georgia"/>
          <w:sz w:val="28"/>
          <w:szCs w:val="28"/>
        </w:rPr>
        <w:t xml:space="preserve">A statistical or other quantifiable analysis of records and data kept by the recipient under </w:t>
      </w:r>
      <w:r w:rsidR="00C210FD">
        <w:rPr>
          <w:rFonts w:ascii="Georgia" w:hAnsi="Georgia"/>
          <w:sz w:val="28"/>
          <w:szCs w:val="28"/>
        </w:rPr>
        <w:t xml:space="preserve">29 C.F.R. </w:t>
      </w:r>
      <w:r w:rsidRPr="00C210FD">
        <w:rPr>
          <w:rFonts w:ascii="Georgia" w:hAnsi="Georgia"/>
          <w:sz w:val="28"/>
          <w:szCs w:val="28"/>
        </w:rPr>
        <w:t xml:space="preserve">§ 38.51, including analyses by race/ethnicity, sex, age, and disability status; </w:t>
      </w:r>
    </w:p>
    <w:p w:rsidR="00C210FD" w:rsidRDefault="00F10865" w:rsidP="00946C54">
      <w:pPr>
        <w:pStyle w:val="Default"/>
        <w:numPr>
          <w:ilvl w:val="0"/>
          <w:numId w:val="2"/>
        </w:numPr>
        <w:spacing w:after="17"/>
        <w:jc w:val="both"/>
        <w:rPr>
          <w:rFonts w:ascii="Georgia" w:hAnsi="Georgia"/>
          <w:sz w:val="28"/>
          <w:szCs w:val="28"/>
        </w:rPr>
      </w:pPr>
      <w:r w:rsidRPr="00C210FD">
        <w:rPr>
          <w:rFonts w:ascii="Georgia" w:hAnsi="Georgia"/>
          <w:sz w:val="28"/>
          <w:szCs w:val="28"/>
        </w:rPr>
        <w:t xml:space="preserve">An investigation of any significant differences identified in paragraph </w:t>
      </w:r>
      <w:r w:rsidR="00C210FD">
        <w:rPr>
          <w:rFonts w:ascii="Georgia" w:hAnsi="Georgia"/>
          <w:sz w:val="28"/>
          <w:szCs w:val="28"/>
        </w:rPr>
        <w:t>29 C.F.R. § 38.51</w:t>
      </w:r>
      <w:r w:rsidRPr="00C210FD">
        <w:rPr>
          <w:rFonts w:ascii="Georgia" w:hAnsi="Georgia"/>
          <w:sz w:val="28"/>
          <w:szCs w:val="28"/>
        </w:rPr>
        <w:t>(d</w:t>
      </w:r>
      <w:proofErr w:type="gramStart"/>
      <w:r w:rsidRPr="00C210FD">
        <w:rPr>
          <w:rFonts w:ascii="Georgia" w:hAnsi="Georgia"/>
          <w:sz w:val="28"/>
          <w:szCs w:val="28"/>
        </w:rPr>
        <w:t>)(</w:t>
      </w:r>
      <w:proofErr w:type="gramEnd"/>
      <w:r w:rsidRPr="00C210FD">
        <w:rPr>
          <w:rFonts w:ascii="Georgia" w:hAnsi="Georgia"/>
          <w:sz w:val="28"/>
          <w:szCs w:val="28"/>
        </w:rPr>
        <w:t>2)(ii)(A) in participation in the programs, activities, or employment provided by the recipient, to determine whether these differences appear to be c</w:t>
      </w:r>
      <w:r w:rsidR="00C210FD">
        <w:rPr>
          <w:rFonts w:ascii="Georgia" w:hAnsi="Georgia"/>
          <w:sz w:val="28"/>
          <w:szCs w:val="28"/>
        </w:rPr>
        <w:t>aused by discrimination. This monitoring is</w:t>
      </w:r>
      <w:r w:rsidRPr="00C210FD">
        <w:rPr>
          <w:rFonts w:ascii="Georgia" w:hAnsi="Georgia"/>
          <w:sz w:val="28"/>
          <w:szCs w:val="28"/>
        </w:rPr>
        <w:t xml:space="preserve"> conducted through review of the recipient’s records and any other appropriate means; and </w:t>
      </w:r>
    </w:p>
    <w:p w:rsidR="00F10865" w:rsidRPr="00C210FD" w:rsidRDefault="00F10865" w:rsidP="00946C54">
      <w:pPr>
        <w:pStyle w:val="Default"/>
        <w:numPr>
          <w:ilvl w:val="0"/>
          <w:numId w:val="2"/>
        </w:numPr>
        <w:spacing w:after="17"/>
        <w:jc w:val="both"/>
        <w:rPr>
          <w:rFonts w:ascii="Georgia" w:hAnsi="Georgia"/>
          <w:sz w:val="28"/>
          <w:szCs w:val="28"/>
        </w:rPr>
      </w:pPr>
      <w:r w:rsidRPr="00C210FD">
        <w:rPr>
          <w:rFonts w:ascii="Georgia" w:hAnsi="Georgia"/>
          <w:sz w:val="28"/>
          <w:szCs w:val="28"/>
        </w:rPr>
        <w:t xml:space="preserve">An assessment to determine whether the recipient has fulfilled its administrative obligations under </w:t>
      </w:r>
      <w:r w:rsidR="00C210FD">
        <w:rPr>
          <w:rFonts w:ascii="Georgia" w:hAnsi="Georgia"/>
          <w:sz w:val="28"/>
          <w:szCs w:val="28"/>
        </w:rPr>
        <w:t>WIOA S</w:t>
      </w:r>
      <w:r w:rsidRPr="00C210FD">
        <w:rPr>
          <w:rFonts w:ascii="Georgia" w:hAnsi="Georgia"/>
          <w:sz w:val="28"/>
          <w:szCs w:val="28"/>
        </w:rPr>
        <w:t xml:space="preserve">ection 188 and any duties assigned to it under the </w:t>
      </w:r>
      <w:r w:rsidR="00C210FD">
        <w:rPr>
          <w:rFonts w:ascii="Georgia" w:hAnsi="Georgia"/>
          <w:sz w:val="28"/>
          <w:szCs w:val="28"/>
        </w:rPr>
        <w:t>District of Columbia’s Nondiscrimination Plan.</w:t>
      </w:r>
    </w:p>
    <w:p w:rsidR="00F10865" w:rsidRDefault="00F10865" w:rsidP="00F10865">
      <w:pPr>
        <w:pStyle w:val="Default"/>
        <w:rPr>
          <w:rFonts w:ascii="Georgia" w:hAnsi="Georgia"/>
          <w:sz w:val="28"/>
          <w:szCs w:val="28"/>
        </w:rPr>
      </w:pPr>
    </w:p>
    <w:p w:rsidR="00571BE3" w:rsidRDefault="00571BE3" w:rsidP="00946C54">
      <w:pPr>
        <w:pStyle w:val="Default"/>
        <w:spacing w:after="18"/>
        <w:jc w:val="both"/>
        <w:rPr>
          <w:rFonts w:ascii="Georgia" w:hAnsi="Georgia"/>
          <w:sz w:val="28"/>
          <w:szCs w:val="28"/>
        </w:rPr>
      </w:pPr>
      <w:r>
        <w:rPr>
          <w:rFonts w:ascii="Georgia" w:hAnsi="Georgia"/>
          <w:sz w:val="28"/>
          <w:szCs w:val="28"/>
        </w:rPr>
        <w:t>Monitoring conducted onsite and/or through a desk audit will cover the recipient’s compliance with WIOA Section 188 and the District of Columbia’s Nondiscrimination Plan</w:t>
      </w:r>
      <w:r w:rsidR="00DF0D45">
        <w:rPr>
          <w:rFonts w:ascii="Georgia" w:hAnsi="Georgia"/>
          <w:sz w:val="28"/>
          <w:szCs w:val="28"/>
        </w:rPr>
        <w:t xml:space="preserve">, which includes </w:t>
      </w:r>
      <w:r>
        <w:rPr>
          <w:rFonts w:ascii="Georgia" w:hAnsi="Georgia"/>
          <w:sz w:val="28"/>
          <w:szCs w:val="28"/>
        </w:rPr>
        <w:t xml:space="preserve">the following elements: </w:t>
      </w:r>
    </w:p>
    <w:p w:rsidR="00DF0D45" w:rsidRDefault="00DF0D45" w:rsidP="00DF0D45">
      <w:pPr>
        <w:pStyle w:val="Default"/>
        <w:spacing w:after="18"/>
        <w:rPr>
          <w:rFonts w:ascii="Georgia" w:hAnsi="Georgia"/>
          <w:color w:val="auto"/>
          <w:sz w:val="28"/>
          <w:szCs w:val="28"/>
        </w:rPr>
      </w:pPr>
    </w:p>
    <w:p w:rsidR="00DF0D45" w:rsidRDefault="00DF0D45" w:rsidP="002268AF">
      <w:pPr>
        <w:pStyle w:val="Default"/>
        <w:numPr>
          <w:ilvl w:val="0"/>
          <w:numId w:val="5"/>
        </w:numPr>
        <w:spacing w:after="18"/>
        <w:rPr>
          <w:rFonts w:ascii="Georgia" w:hAnsi="Georgia"/>
          <w:color w:val="auto"/>
          <w:sz w:val="28"/>
          <w:szCs w:val="28"/>
        </w:rPr>
      </w:pPr>
      <w:r>
        <w:rPr>
          <w:rFonts w:ascii="Georgia" w:hAnsi="Georgia"/>
          <w:color w:val="auto"/>
          <w:sz w:val="28"/>
          <w:szCs w:val="28"/>
        </w:rPr>
        <w:t>Assurances</w:t>
      </w:r>
    </w:p>
    <w:p w:rsidR="00DF0D45" w:rsidRDefault="00DF0D45" w:rsidP="002268AF">
      <w:pPr>
        <w:pStyle w:val="Default"/>
        <w:numPr>
          <w:ilvl w:val="0"/>
          <w:numId w:val="5"/>
        </w:numPr>
        <w:spacing w:after="18"/>
        <w:rPr>
          <w:rFonts w:ascii="Georgia" w:hAnsi="Georgia"/>
          <w:color w:val="auto"/>
          <w:sz w:val="28"/>
          <w:szCs w:val="28"/>
        </w:rPr>
      </w:pPr>
      <w:r>
        <w:rPr>
          <w:rFonts w:ascii="Georgia" w:hAnsi="Georgia"/>
          <w:color w:val="auto"/>
          <w:sz w:val="28"/>
          <w:szCs w:val="28"/>
        </w:rPr>
        <w:t>Equal Opportunity Officers</w:t>
      </w:r>
    </w:p>
    <w:p w:rsidR="00DF0D45" w:rsidRDefault="00DF0D45" w:rsidP="002268AF">
      <w:pPr>
        <w:pStyle w:val="Default"/>
        <w:numPr>
          <w:ilvl w:val="0"/>
          <w:numId w:val="5"/>
        </w:numPr>
        <w:spacing w:after="18"/>
        <w:rPr>
          <w:rFonts w:ascii="Georgia" w:hAnsi="Georgia"/>
          <w:color w:val="auto"/>
          <w:sz w:val="28"/>
          <w:szCs w:val="28"/>
        </w:rPr>
      </w:pPr>
      <w:r>
        <w:rPr>
          <w:rFonts w:ascii="Georgia" w:hAnsi="Georgia"/>
          <w:color w:val="auto"/>
          <w:sz w:val="28"/>
          <w:szCs w:val="28"/>
        </w:rPr>
        <w:t>Notice and Communication</w:t>
      </w:r>
    </w:p>
    <w:p w:rsidR="00DF0D45" w:rsidRDefault="00DF0D45" w:rsidP="002268AF">
      <w:pPr>
        <w:pStyle w:val="Default"/>
        <w:numPr>
          <w:ilvl w:val="0"/>
          <w:numId w:val="5"/>
        </w:numPr>
        <w:spacing w:after="18"/>
        <w:rPr>
          <w:rFonts w:ascii="Georgia" w:hAnsi="Georgia"/>
          <w:color w:val="auto"/>
          <w:sz w:val="28"/>
          <w:szCs w:val="28"/>
        </w:rPr>
      </w:pPr>
      <w:r>
        <w:rPr>
          <w:rFonts w:ascii="Georgia" w:hAnsi="Georgia"/>
          <w:color w:val="auto"/>
          <w:sz w:val="28"/>
          <w:szCs w:val="28"/>
        </w:rPr>
        <w:t>Data and Information Collection Maintenance</w:t>
      </w:r>
    </w:p>
    <w:p w:rsidR="00DF0D45" w:rsidRDefault="00DF0D45" w:rsidP="002268AF">
      <w:pPr>
        <w:pStyle w:val="Default"/>
        <w:numPr>
          <w:ilvl w:val="0"/>
          <w:numId w:val="5"/>
        </w:numPr>
        <w:spacing w:after="18"/>
        <w:rPr>
          <w:rFonts w:ascii="Georgia" w:hAnsi="Georgia"/>
          <w:color w:val="auto"/>
          <w:sz w:val="28"/>
          <w:szCs w:val="28"/>
        </w:rPr>
      </w:pPr>
      <w:r>
        <w:rPr>
          <w:rFonts w:ascii="Georgia" w:hAnsi="Georgia"/>
          <w:color w:val="auto"/>
          <w:sz w:val="28"/>
          <w:szCs w:val="28"/>
        </w:rPr>
        <w:t>Affirmative Outreach</w:t>
      </w:r>
    </w:p>
    <w:p w:rsidR="00DF0D45" w:rsidRDefault="00DF0D45" w:rsidP="002268AF">
      <w:pPr>
        <w:pStyle w:val="Default"/>
        <w:numPr>
          <w:ilvl w:val="0"/>
          <w:numId w:val="5"/>
        </w:numPr>
        <w:spacing w:after="18"/>
        <w:rPr>
          <w:rFonts w:ascii="Georgia" w:hAnsi="Georgia"/>
          <w:color w:val="auto"/>
          <w:sz w:val="28"/>
          <w:szCs w:val="28"/>
        </w:rPr>
      </w:pPr>
      <w:r>
        <w:rPr>
          <w:rFonts w:ascii="Georgia" w:hAnsi="Georgia"/>
          <w:color w:val="auto"/>
          <w:sz w:val="28"/>
          <w:szCs w:val="28"/>
        </w:rPr>
        <w:t>Mayor’s Oversight Responsibilities Regarding Recordkeeping</w:t>
      </w:r>
      <w:r w:rsidR="002268AF">
        <w:rPr>
          <w:rFonts w:ascii="Georgia" w:hAnsi="Georgia"/>
          <w:color w:val="auto"/>
          <w:sz w:val="28"/>
          <w:szCs w:val="28"/>
        </w:rPr>
        <w:t xml:space="preserve"> (applicable to the District of Columbia EO Officer only)</w:t>
      </w:r>
    </w:p>
    <w:p w:rsidR="00DF0D45" w:rsidRDefault="00DF0D45" w:rsidP="002268AF">
      <w:pPr>
        <w:pStyle w:val="Default"/>
        <w:numPr>
          <w:ilvl w:val="0"/>
          <w:numId w:val="5"/>
        </w:numPr>
        <w:spacing w:after="18"/>
        <w:rPr>
          <w:rFonts w:ascii="Georgia" w:hAnsi="Georgia"/>
          <w:color w:val="auto"/>
          <w:sz w:val="28"/>
          <w:szCs w:val="28"/>
        </w:rPr>
      </w:pPr>
      <w:r>
        <w:rPr>
          <w:rFonts w:ascii="Georgia" w:hAnsi="Georgia"/>
          <w:color w:val="auto"/>
          <w:sz w:val="28"/>
          <w:szCs w:val="28"/>
        </w:rPr>
        <w:t>Mayor’s Oversight and Monitoring Responsibilities for State Programs</w:t>
      </w:r>
      <w:r w:rsidR="002268AF">
        <w:rPr>
          <w:rFonts w:ascii="Georgia" w:hAnsi="Georgia"/>
          <w:color w:val="auto"/>
          <w:sz w:val="28"/>
          <w:szCs w:val="28"/>
        </w:rPr>
        <w:t xml:space="preserve"> (applicable to the District of Columbia EO Officer only)</w:t>
      </w:r>
    </w:p>
    <w:p w:rsidR="00DF0D45" w:rsidRDefault="00DF0D45" w:rsidP="002268AF">
      <w:pPr>
        <w:pStyle w:val="Default"/>
        <w:numPr>
          <w:ilvl w:val="0"/>
          <w:numId w:val="5"/>
        </w:numPr>
        <w:spacing w:after="18"/>
        <w:rPr>
          <w:rFonts w:ascii="Georgia" w:hAnsi="Georgia"/>
          <w:color w:val="auto"/>
          <w:sz w:val="28"/>
          <w:szCs w:val="28"/>
        </w:rPr>
      </w:pPr>
      <w:r>
        <w:rPr>
          <w:rFonts w:ascii="Georgia" w:hAnsi="Georgia"/>
          <w:color w:val="auto"/>
          <w:sz w:val="28"/>
          <w:szCs w:val="28"/>
        </w:rPr>
        <w:t>Required Elements of Complaint Processing Procedures</w:t>
      </w:r>
    </w:p>
    <w:p w:rsidR="00DF0D45" w:rsidRPr="00DF0D45" w:rsidRDefault="00DF0D45" w:rsidP="00DF0D45">
      <w:pPr>
        <w:pStyle w:val="Default"/>
        <w:spacing w:after="18"/>
        <w:rPr>
          <w:rFonts w:ascii="Georgia" w:hAnsi="Georgia"/>
          <w:color w:val="auto"/>
          <w:sz w:val="28"/>
          <w:szCs w:val="28"/>
        </w:rPr>
      </w:pPr>
    </w:p>
    <w:p w:rsidR="00571BE3" w:rsidRDefault="00571BE3" w:rsidP="00F10865">
      <w:pPr>
        <w:pStyle w:val="Default"/>
        <w:rPr>
          <w:rFonts w:ascii="Georgia" w:hAnsi="Georgia"/>
          <w:b/>
          <w:bCs/>
          <w:sz w:val="28"/>
          <w:szCs w:val="28"/>
        </w:rPr>
      </w:pPr>
      <w:r>
        <w:rPr>
          <w:rFonts w:ascii="Georgia" w:hAnsi="Georgia"/>
          <w:b/>
          <w:bCs/>
          <w:sz w:val="28"/>
          <w:szCs w:val="28"/>
        </w:rPr>
        <w:t>Frequency</w:t>
      </w:r>
    </w:p>
    <w:p w:rsidR="00571BE3" w:rsidRDefault="00571BE3" w:rsidP="00F10865">
      <w:pPr>
        <w:pStyle w:val="Default"/>
        <w:rPr>
          <w:rFonts w:ascii="Georgia" w:hAnsi="Georgia"/>
          <w:b/>
          <w:bCs/>
          <w:sz w:val="28"/>
          <w:szCs w:val="28"/>
        </w:rPr>
      </w:pPr>
    </w:p>
    <w:p w:rsidR="00571BE3" w:rsidRPr="00DA1F2C" w:rsidRDefault="00F61DE6" w:rsidP="00946C54">
      <w:pPr>
        <w:pStyle w:val="CommentText"/>
        <w:jc w:val="both"/>
        <w:rPr>
          <w:rFonts w:ascii="Georgia" w:hAnsi="Georgia"/>
          <w:sz w:val="28"/>
          <w:szCs w:val="28"/>
        </w:rPr>
      </w:pPr>
      <w:r w:rsidRPr="00F61DE6">
        <w:rPr>
          <w:rFonts w:ascii="Georgia" w:hAnsi="Georgia" w:cstheme="minorHAnsi"/>
          <w:sz w:val="28"/>
          <w:szCs w:val="28"/>
        </w:rPr>
        <w:t>A review schedule is developed at the beginning of each program year identifying when each American Job Center and one-stop system partner is scheduled for a desk and onsite review.</w:t>
      </w:r>
      <w:r>
        <w:rPr>
          <w:rFonts w:ascii="Georgia" w:hAnsi="Georgia" w:cstheme="minorHAnsi"/>
          <w:sz w:val="28"/>
          <w:szCs w:val="28"/>
        </w:rPr>
        <w:t xml:space="preserve"> </w:t>
      </w:r>
      <w:r w:rsidR="00F10865" w:rsidRPr="00DA1F2C">
        <w:rPr>
          <w:rFonts w:ascii="Georgia" w:hAnsi="Georgia"/>
          <w:sz w:val="28"/>
          <w:szCs w:val="28"/>
        </w:rPr>
        <w:t xml:space="preserve">The </w:t>
      </w:r>
      <w:r>
        <w:rPr>
          <w:rFonts w:ascii="Georgia" w:hAnsi="Georgia"/>
          <w:sz w:val="28"/>
          <w:szCs w:val="28"/>
        </w:rPr>
        <w:t xml:space="preserve">Local-Level </w:t>
      </w:r>
      <w:r w:rsidR="00F10865" w:rsidRPr="00DA1F2C">
        <w:rPr>
          <w:rFonts w:ascii="Georgia" w:hAnsi="Georgia"/>
          <w:sz w:val="28"/>
          <w:szCs w:val="28"/>
        </w:rPr>
        <w:t>E</w:t>
      </w:r>
      <w:r w:rsidR="00571BE3" w:rsidRPr="00DA1F2C">
        <w:rPr>
          <w:rFonts w:ascii="Georgia" w:hAnsi="Georgia"/>
          <w:sz w:val="28"/>
          <w:szCs w:val="28"/>
        </w:rPr>
        <w:t>qual Opportunity (E</w:t>
      </w:r>
      <w:r w:rsidR="00F10865" w:rsidRPr="00DA1F2C">
        <w:rPr>
          <w:rFonts w:ascii="Georgia" w:hAnsi="Georgia"/>
          <w:sz w:val="28"/>
          <w:szCs w:val="28"/>
        </w:rPr>
        <w:t>O</w:t>
      </w:r>
      <w:r w:rsidR="00571BE3" w:rsidRPr="00DA1F2C">
        <w:rPr>
          <w:rFonts w:ascii="Georgia" w:hAnsi="Georgia"/>
          <w:sz w:val="28"/>
          <w:szCs w:val="28"/>
        </w:rPr>
        <w:t>)</w:t>
      </w:r>
      <w:r w:rsidR="00F10865" w:rsidRPr="00DA1F2C">
        <w:rPr>
          <w:rFonts w:ascii="Georgia" w:hAnsi="Georgia"/>
          <w:sz w:val="28"/>
          <w:szCs w:val="28"/>
        </w:rPr>
        <w:t xml:space="preserve"> Officer</w:t>
      </w:r>
      <w:r>
        <w:rPr>
          <w:rFonts w:ascii="Georgia" w:hAnsi="Georgia"/>
          <w:sz w:val="28"/>
          <w:szCs w:val="28"/>
        </w:rPr>
        <w:t xml:space="preserve"> at the </w:t>
      </w:r>
      <w:r w:rsidRPr="00DA1F2C">
        <w:rPr>
          <w:rFonts w:ascii="Georgia" w:hAnsi="Georgia"/>
          <w:sz w:val="28"/>
          <w:szCs w:val="28"/>
        </w:rPr>
        <w:t>Department of Employment Services (DOES)</w:t>
      </w:r>
      <w:r w:rsidR="00DA1F2C" w:rsidRPr="00DA1F2C">
        <w:rPr>
          <w:rFonts w:ascii="Georgia" w:hAnsi="Georgia"/>
          <w:sz w:val="28"/>
          <w:szCs w:val="28"/>
        </w:rPr>
        <w:t>,</w:t>
      </w:r>
      <w:r w:rsidR="00F10865" w:rsidRPr="00DA1F2C">
        <w:rPr>
          <w:rFonts w:ascii="Georgia" w:hAnsi="Georgia"/>
          <w:sz w:val="28"/>
          <w:szCs w:val="28"/>
        </w:rPr>
        <w:t xml:space="preserve"> </w:t>
      </w:r>
      <w:r w:rsidR="00DA1F2C" w:rsidRPr="00DA1F2C">
        <w:rPr>
          <w:rFonts w:ascii="Georgia" w:hAnsi="Georgia" w:cstheme="minorHAnsi"/>
          <w:sz w:val="28"/>
          <w:szCs w:val="28"/>
        </w:rPr>
        <w:t xml:space="preserve">or a designee, </w:t>
      </w:r>
      <w:r w:rsidR="00F10865" w:rsidRPr="00DA1F2C">
        <w:rPr>
          <w:rFonts w:ascii="Georgia" w:hAnsi="Georgia"/>
          <w:sz w:val="28"/>
          <w:szCs w:val="28"/>
        </w:rPr>
        <w:t xml:space="preserve">will </w:t>
      </w:r>
      <w:r w:rsidR="00571BE3" w:rsidRPr="00DA1F2C">
        <w:rPr>
          <w:rFonts w:ascii="Georgia" w:hAnsi="Georgia"/>
          <w:sz w:val="28"/>
          <w:szCs w:val="28"/>
        </w:rPr>
        <w:t>conduct</w:t>
      </w:r>
      <w:r w:rsidR="00F10865" w:rsidRPr="00DA1F2C">
        <w:rPr>
          <w:rFonts w:ascii="Georgia" w:hAnsi="Georgia"/>
          <w:sz w:val="28"/>
          <w:szCs w:val="28"/>
        </w:rPr>
        <w:t xml:space="preserve"> </w:t>
      </w:r>
      <w:r w:rsidR="00F10865" w:rsidRPr="00DA1F2C">
        <w:rPr>
          <w:rFonts w:ascii="Georgia" w:hAnsi="Georgia"/>
          <w:sz w:val="28"/>
          <w:szCs w:val="28"/>
          <w:u w:val="single"/>
        </w:rPr>
        <w:t>desk reviews</w:t>
      </w:r>
      <w:r w:rsidR="00F10865" w:rsidRPr="00DA1F2C">
        <w:rPr>
          <w:rFonts w:ascii="Georgia" w:hAnsi="Georgia"/>
          <w:sz w:val="28"/>
          <w:szCs w:val="28"/>
        </w:rPr>
        <w:t xml:space="preserve"> of each </w:t>
      </w:r>
      <w:r w:rsidR="002268AF" w:rsidRPr="00DA1F2C">
        <w:rPr>
          <w:rFonts w:ascii="Georgia" w:hAnsi="Georgia"/>
          <w:sz w:val="28"/>
          <w:szCs w:val="28"/>
        </w:rPr>
        <w:t>One Stop Career Center</w:t>
      </w:r>
      <w:r w:rsidR="00F10865" w:rsidRPr="00DA1F2C">
        <w:rPr>
          <w:rFonts w:ascii="Georgia" w:hAnsi="Georgia"/>
          <w:sz w:val="28"/>
          <w:szCs w:val="28"/>
        </w:rPr>
        <w:t xml:space="preserve"> </w:t>
      </w:r>
      <w:r w:rsidR="00487668" w:rsidRPr="00DA1F2C">
        <w:rPr>
          <w:rFonts w:ascii="Georgia" w:hAnsi="Georgia"/>
          <w:sz w:val="28"/>
          <w:szCs w:val="28"/>
        </w:rPr>
        <w:t xml:space="preserve">as well as DOES sub-recipients </w:t>
      </w:r>
      <w:r w:rsidR="00F10865" w:rsidRPr="00DA1F2C">
        <w:rPr>
          <w:rFonts w:ascii="Georgia" w:hAnsi="Georgia"/>
          <w:sz w:val="28"/>
          <w:szCs w:val="28"/>
        </w:rPr>
        <w:t xml:space="preserve">on an annual basis. </w:t>
      </w:r>
    </w:p>
    <w:p w:rsidR="00487668" w:rsidRDefault="00487668" w:rsidP="00946C54">
      <w:pPr>
        <w:pStyle w:val="Default"/>
        <w:jc w:val="both"/>
        <w:rPr>
          <w:rFonts w:ascii="Georgia" w:hAnsi="Georgia"/>
          <w:sz w:val="28"/>
          <w:szCs w:val="28"/>
        </w:rPr>
      </w:pPr>
    </w:p>
    <w:p w:rsidR="0003705E" w:rsidRDefault="00571BE3" w:rsidP="00946C54">
      <w:pPr>
        <w:pStyle w:val="Default"/>
        <w:jc w:val="both"/>
        <w:rPr>
          <w:rFonts w:ascii="Georgia" w:hAnsi="Georgia"/>
          <w:sz w:val="28"/>
          <w:szCs w:val="28"/>
        </w:rPr>
      </w:pPr>
      <w:r>
        <w:rPr>
          <w:rFonts w:ascii="Georgia" w:hAnsi="Georgia"/>
          <w:sz w:val="28"/>
          <w:szCs w:val="28"/>
        </w:rPr>
        <w:lastRenderedPageBreak/>
        <w:t xml:space="preserve">The DOES </w:t>
      </w:r>
      <w:r w:rsidR="00F10865" w:rsidRPr="00C210FD">
        <w:rPr>
          <w:rFonts w:ascii="Georgia" w:hAnsi="Georgia"/>
          <w:sz w:val="28"/>
          <w:szCs w:val="28"/>
        </w:rPr>
        <w:t xml:space="preserve">EO Officer shall </w:t>
      </w:r>
      <w:r>
        <w:rPr>
          <w:rFonts w:ascii="Georgia" w:hAnsi="Georgia"/>
          <w:sz w:val="28"/>
          <w:szCs w:val="28"/>
        </w:rPr>
        <w:t>conduct</w:t>
      </w:r>
      <w:r w:rsidR="00F10865" w:rsidRPr="00C210FD">
        <w:rPr>
          <w:rFonts w:ascii="Georgia" w:hAnsi="Georgia"/>
          <w:sz w:val="28"/>
          <w:szCs w:val="28"/>
        </w:rPr>
        <w:t xml:space="preserve"> </w:t>
      </w:r>
      <w:r w:rsidR="00F10865" w:rsidRPr="00487668">
        <w:rPr>
          <w:rFonts w:ascii="Georgia" w:hAnsi="Georgia"/>
          <w:sz w:val="28"/>
          <w:szCs w:val="28"/>
          <w:u w:val="single"/>
        </w:rPr>
        <w:t>on-site visits</w:t>
      </w:r>
      <w:r w:rsidR="00F10865" w:rsidRPr="00C210FD">
        <w:rPr>
          <w:rFonts w:ascii="Georgia" w:hAnsi="Georgia"/>
          <w:sz w:val="28"/>
          <w:szCs w:val="28"/>
        </w:rPr>
        <w:t xml:space="preserve"> of the One-Stop Career Centers once every three (3) years, unless a complaint is received or a desk audit indicates the need of an immediate on-site review. </w:t>
      </w:r>
    </w:p>
    <w:p w:rsidR="00571BE3" w:rsidRDefault="00487668" w:rsidP="00946C54">
      <w:pPr>
        <w:pStyle w:val="Default"/>
        <w:jc w:val="both"/>
        <w:rPr>
          <w:rFonts w:ascii="Georgia" w:hAnsi="Georgia"/>
          <w:sz w:val="28"/>
          <w:szCs w:val="28"/>
        </w:rPr>
      </w:pPr>
      <w:r>
        <w:rPr>
          <w:rFonts w:ascii="Georgia" w:hAnsi="Georgia"/>
          <w:sz w:val="28"/>
          <w:szCs w:val="28"/>
        </w:rPr>
        <w:t>The following table sets for the onsite monitoring schedule for One Stop Career Centers and DOES sub-recipients:</w:t>
      </w:r>
    </w:p>
    <w:p w:rsidR="00487668" w:rsidRDefault="00487668" w:rsidP="00F10865">
      <w:pPr>
        <w:pStyle w:val="Default"/>
        <w:rPr>
          <w:rFonts w:ascii="Georgia" w:hAnsi="Georgia"/>
          <w:sz w:val="28"/>
          <w:szCs w:val="28"/>
        </w:rPr>
      </w:pPr>
    </w:p>
    <w:tbl>
      <w:tblPr>
        <w:tblStyle w:val="TableGrid"/>
        <w:tblW w:w="9445" w:type="dxa"/>
        <w:tblLook w:val="04A0" w:firstRow="1" w:lastRow="0" w:firstColumn="1" w:lastColumn="0" w:noHBand="0" w:noVBand="1"/>
      </w:tblPr>
      <w:tblGrid>
        <w:gridCol w:w="4388"/>
        <w:gridCol w:w="5057"/>
      </w:tblGrid>
      <w:tr w:rsidR="00487668" w:rsidTr="00487668">
        <w:tc>
          <w:tcPr>
            <w:tcW w:w="4388" w:type="dxa"/>
            <w:shd w:val="clear" w:color="auto" w:fill="D9D9D9" w:themeFill="background1" w:themeFillShade="D9"/>
          </w:tcPr>
          <w:p w:rsidR="00487668" w:rsidRDefault="00487668" w:rsidP="00487668">
            <w:pPr>
              <w:pStyle w:val="Default"/>
              <w:jc w:val="center"/>
              <w:rPr>
                <w:rFonts w:ascii="Georgia" w:hAnsi="Georgia"/>
                <w:sz w:val="28"/>
                <w:szCs w:val="28"/>
              </w:rPr>
            </w:pPr>
          </w:p>
          <w:p w:rsidR="00487668" w:rsidRPr="00487668" w:rsidRDefault="00487668" w:rsidP="00487668">
            <w:pPr>
              <w:pStyle w:val="Default"/>
              <w:jc w:val="center"/>
              <w:rPr>
                <w:rFonts w:ascii="Georgia" w:hAnsi="Georgia"/>
                <w:b/>
                <w:sz w:val="28"/>
                <w:szCs w:val="28"/>
              </w:rPr>
            </w:pPr>
            <w:r>
              <w:rPr>
                <w:rFonts w:ascii="Georgia" w:hAnsi="Georgia"/>
                <w:b/>
                <w:sz w:val="28"/>
                <w:szCs w:val="28"/>
              </w:rPr>
              <w:t>One-Stop Career Center/</w:t>
            </w:r>
            <w:r>
              <w:rPr>
                <w:rFonts w:ascii="Georgia" w:hAnsi="Georgia"/>
                <w:b/>
                <w:sz w:val="28"/>
                <w:szCs w:val="28"/>
              </w:rPr>
              <w:br/>
              <w:t xml:space="preserve">Sub-recipient/Service Provider </w:t>
            </w:r>
          </w:p>
          <w:p w:rsidR="00487668" w:rsidRDefault="00487668" w:rsidP="00487668">
            <w:pPr>
              <w:pStyle w:val="Default"/>
              <w:jc w:val="center"/>
              <w:rPr>
                <w:rFonts w:ascii="Georgia" w:hAnsi="Georgia"/>
                <w:sz w:val="28"/>
                <w:szCs w:val="28"/>
              </w:rPr>
            </w:pPr>
          </w:p>
        </w:tc>
        <w:tc>
          <w:tcPr>
            <w:tcW w:w="5057" w:type="dxa"/>
            <w:shd w:val="clear" w:color="auto" w:fill="D9D9D9" w:themeFill="background1" w:themeFillShade="D9"/>
          </w:tcPr>
          <w:p w:rsidR="00487668" w:rsidRDefault="00487668" w:rsidP="00487668">
            <w:pPr>
              <w:pStyle w:val="Default"/>
              <w:jc w:val="center"/>
              <w:rPr>
                <w:rFonts w:ascii="Georgia" w:hAnsi="Georgia"/>
                <w:sz w:val="28"/>
                <w:szCs w:val="28"/>
              </w:rPr>
            </w:pPr>
          </w:p>
          <w:p w:rsidR="00487668" w:rsidRPr="00487668" w:rsidRDefault="00487668" w:rsidP="00F61DE6">
            <w:pPr>
              <w:pStyle w:val="Default"/>
              <w:jc w:val="center"/>
              <w:rPr>
                <w:rFonts w:ascii="Georgia" w:hAnsi="Georgia"/>
                <w:b/>
                <w:sz w:val="28"/>
                <w:szCs w:val="28"/>
              </w:rPr>
            </w:pPr>
            <w:r>
              <w:rPr>
                <w:rFonts w:ascii="Georgia" w:hAnsi="Georgia"/>
                <w:b/>
                <w:sz w:val="28"/>
                <w:szCs w:val="28"/>
              </w:rPr>
              <w:t>Month/Year for Monitoring</w:t>
            </w:r>
          </w:p>
        </w:tc>
      </w:tr>
      <w:tr w:rsidR="00487668" w:rsidTr="00487668">
        <w:tc>
          <w:tcPr>
            <w:tcW w:w="4388" w:type="dxa"/>
            <w:shd w:val="clear" w:color="auto" w:fill="D9D9D9" w:themeFill="background1" w:themeFillShade="D9"/>
          </w:tcPr>
          <w:p w:rsidR="00487668" w:rsidRDefault="00487668" w:rsidP="00F10865">
            <w:pPr>
              <w:pStyle w:val="Default"/>
              <w:rPr>
                <w:rFonts w:ascii="Georgia" w:hAnsi="Georgia"/>
                <w:sz w:val="28"/>
                <w:szCs w:val="28"/>
              </w:rPr>
            </w:pPr>
          </w:p>
          <w:p w:rsidR="00487668" w:rsidRDefault="00487668" w:rsidP="00F10865">
            <w:pPr>
              <w:pStyle w:val="Default"/>
              <w:rPr>
                <w:rFonts w:ascii="Georgia" w:hAnsi="Georgia"/>
                <w:sz w:val="28"/>
                <w:szCs w:val="28"/>
              </w:rPr>
            </w:pPr>
          </w:p>
          <w:p w:rsidR="00487668" w:rsidRDefault="00487668" w:rsidP="00F10865">
            <w:pPr>
              <w:pStyle w:val="Default"/>
              <w:rPr>
                <w:rFonts w:ascii="Georgia" w:hAnsi="Georgia"/>
                <w:sz w:val="28"/>
                <w:szCs w:val="28"/>
              </w:rPr>
            </w:pPr>
          </w:p>
        </w:tc>
        <w:tc>
          <w:tcPr>
            <w:tcW w:w="5057" w:type="dxa"/>
          </w:tcPr>
          <w:p w:rsidR="00487668" w:rsidRDefault="00487668" w:rsidP="00F10865">
            <w:pPr>
              <w:pStyle w:val="Default"/>
              <w:rPr>
                <w:rFonts w:ascii="Georgia" w:hAnsi="Georgia"/>
                <w:sz w:val="28"/>
                <w:szCs w:val="28"/>
              </w:rPr>
            </w:pPr>
          </w:p>
        </w:tc>
      </w:tr>
      <w:tr w:rsidR="00487668" w:rsidTr="00487668">
        <w:tc>
          <w:tcPr>
            <w:tcW w:w="4388" w:type="dxa"/>
            <w:shd w:val="clear" w:color="auto" w:fill="D9D9D9" w:themeFill="background1" w:themeFillShade="D9"/>
          </w:tcPr>
          <w:p w:rsidR="00487668" w:rsidRDefault="00487668" w:rsidP="00F10865">
            <w:pPr>
              <w:pStyle w:val="Default"/>
              <w:rPr>
                <w:rFonts w:ascii="Georgia" w:hAnsi="Georgia"/>
                <w:sz w:val="28"/>
                <w:szCs w:val="28"/>
              </w:rPr>
            </w:pPr>
          </w:p>
          <w:p w:rsidR="00487668" w:rsidRDefault="00487668" w:rsidP="00F10865">
            <w:pPr>
              <w:pStyle w:val="Default"/>
              <w:rPr>
                <w:rFonts w:ascii="Georgia" w:hAnsi="Georgia"/>
                <w:sz w:val="28"/>
                <w:szCs w:val="28"/>
              </w:rPr>
            </w:pPr>
          </w:p>
          <w:p w:rsidR="00487668" w:rsidRDefault="00487668" w:rsidP="00F10865">
            <w:pPr>
              <w:pStyle w:val="Default"/>
              <w:rPr>
                <w:rFonts w:ascii="Georgia" w:hAnsi="Georgia"/>
                <w:sz w:val="28"/>
                <w:szCs w:val="28"/>
              </w:rPr>
            </w:pPr>
          </w:p>
        </w:tc>
        <w:tc>
          <w:tcPr>
            <w:tcW w:w="5057" w:type="dxa"/>
          </w:tcPr>
          <w:p w:rsidR="00487668" w:rsidRDefault="00487668" w:rsidP="00F10865">
            <w:pPr>
              <w:pStyle w:val="Default"/>
              <w:rPr>
                <w:rFonts w:ascii="Georgia" w:hAnsi="Georgia"/>
                <w:sz w:val="28"/>
                <w:szCs w:val="28"/>
              </w:rPr>
            </w:pPr>
          </w:p>
        </w:tc>
      </w:tr>
      <w:tr w:rsidR="00487668" w:rsidTr="00487668">
        <w:tc>
          <w:tcPr>
            <w:tcW w:w="4388" w:type="dxa"/>
            <w:shd w:val="clear" w:color="auto" w:fill="D9D9D9" w:themeFill="background1" w:themeFillShade="D9"/>
          </w:tcPr>
          <w:p w:rsidR="00487668" w:rsidRDefault="00487668" w:rsidP="00F10865">
            <w:pPr>
              <w:pStyle w:val="Default"/>
              <w:rPr>
                <w:rFonts w:ascii="Georgia" w:hAnsi="Georgia"/>
                <w:sz w:val="28"/>
                <w:szCs w:val="28"/>
              </w:rPr>
            </w:pPr>
          </w:p>
          <w:p w:rsidR="00487668" w:rsidRDefault="00487668" w:rsidP="00F10865">
            <w:pPr>
              <w:pStyle w:val="Default"/>
              <w:rPr>
                <w:rFonts w:ascii="Georgia" w:hAnsi="Georgia"/>
                <w:sz w:val="28"/>
                <w:szCs w:val="28"/>
              </w:rPr>
            </w:pPr>
          </w:p>
          <w:p w:rsidR="00487668" w:rsidRDefault="00487668" w:rsidP="00F10865">
            <w:pPr>
              <w:pStyle w:val="Default"/>
              <w:rPr>
                <w:rFonts w:ascii="Georgia" w:hAnsi="Georgia"/>
                <w:sz w:val="28"/>
                <w:szCs w:val="28"/>
              </w:rPr>
            </w:pPr>
          </w:p>
        </w:tc>
        <w:tc>
          <w:tcPr>
            <w:tcW w:w="5057" w:type="dxa"/>
          </w:tcPr>
          <w:p w:rsidR="00487668" w:rsidRDefault="00487668" w:rsidP="00F10865">
            <w:pPr>
              <w:pStyle w:val="Default"/>
              <w:rPr>
                <w:rFonts w:ascii="Georgia" w:hAnsi="Georgia"/>
                <w:sz w:val="28"/>
                <w:szCs w:val="28"/>
              </w:rPr>
            </w:pPr>
          </w:p>
        </w:tc>
      </w:tr>
      <w:tr w:rsidR="00487668" w:rsidTr="00487668">
        <w:tc>
          <w:tcPr>
            <w:tcW w:w="4388" w:type="dxa"/>
            <w:shd w:val="clear" w:color="auto" w:fill="D9D9D9" w:themeFill="background1" w:themeFillShade="D9"/>
          </w:tcPr>
          <w:p w:rsidR="00487668" w:rsidRDefault="00487668" w:rsidP="00F10865">
            <w:pPr>
              <w:pStyle w:val="Default"/>
              <w:rPr>
                <w:rFonts w:ascii="Georgia" w:hAnsi="Georgia"/>
                <w:sz w:val="28"/>
                <w:szCs w:val="28"/>
              </w:rPr>
            </w:pPr>
          </w:p>
          <w:p w:rsidR="00487668" w:rsidRDefault="00487668" w:rsidP="00F10865">
            <w:pPr>
              <w:pStyle w:val="Default"/>
              <w:rPr>
                <w:rFonts w:ascii="Georgia" w:hAnsi="Georgia"/>
                <w:sz w:val="28"/>
                <w:szCs w:val="28"/>
              </w:rPr>
            </w:pPr>
          </w:p>
          <w:p w:rsidR="00487668" w:rsidRDefault="00487668" w:rsidP="00F10865">
            <w:pPr>
              <w:pStyle w:val="Default"/>
              <w:rPr>
                <w:rFonts w:ascii="Georgia" w:hAnsi="Georgia"/>
                <w:sz w:val="28"/>
                <w:szCs w:val="28"/>
              </w:rPr>
            </w:pPr>
          </w:p>
        </w:tc>
        <w:tc>
          <w:tcPr>
            <w:tcW w:w="5057" w:type="dxa"/>
          </w:tcPr>
          <w:p w:rsidR="00487668" w:rsidRDefault="00487668" w:rsidP="00F10865">
            <w:pPr>
              <w:pStyle w:val="Default"/>
              <w:rPr>
                <w:rFonts w:ascii="Georgia" w:hAnsi="Georgia"/>
                <w:sz w:val="28"/>
                <w:szCs w:val="28"/>
              </w:rPr>
            </w:pPr>
          </w:p>
        </w:tc>
      </w:tr>
      <w:tr w:rsidR="00487668" w:rsidTr="00487668">
        <w:tc>
          <w:tcPr>
            <w:tcW w:w="4388" w:type="dxa"/>
            <w:shd w:val="clear" w:color="auto" w:fill="D9D9D9" w:themeFill="background1" w:themeFillShade="D9"/>
          </w:tcPr>
          <w:p w:rsidR="00487668" w:rsidRDefault="00487668" w:rsidP="00F10865">
            <w:pPr>
              <w:pStyle w:val="Default"/>
              <w:rPr>
                <w:rFonts w:ascii="Georgia" w:hAnsi="Georgia"/>
                <w:sz w:val="28"/>
                <w:szCs w:val="28"/>
              </w:rPr>
            </w:pPr>
          </w:p>
          <w:p w:rsidR="00487668" w:rsidRDefault="00487668" w:rsidP="00F10865">
            <w:pPr>
              <w:pStyle w:val="Default"/>
              <w:rPr>
                <w:rFonts w:ascii="Georgia" w:hAnsi="Georgia"/>
                <w:sz w:val="28"/>
                <w:szCs w:val="28"/>
              </w:rPr>
            </w:pPr>
          </w:p>
          <w:p w:rsidR="00487668" w:rsidRDefault="00487668" w:rsidP="00F10865">
            <w:pPr>
              <w:pStyle w:val="Default"/>
              <w:rPr>
                <w:rFonts w:ascii="Georgia" w:hAnsi="Georgia"/>
                <w:sz w:val="28"/>
                <w:szCs w:val="28"/>
              </w:rPr>
            </w:pPr>
          </w:p>
        </w:tc>
        <w:tc>
          <w:tcPr>
            <w:tcW w:w="5057" w:type="dxa"/>
          </w:tcPr>
          <w:p w:rsidR="00487668" w:rsidRDefault="00487668" w:rsidP="00F10865">
            <w:pPr>
              <w:pStyle w:val="Default"/>
              <w:rPr>
                <w:rFonts w:ascii="Georgia" w:hAnsi="Georgia"/>
                <w:sz w:val="28"/>
                <w:szCs w:val="28"/>
              </w:rPr>
            </w:pPr>
          </w:p>
        </w:tc>
      </w:tr>
    </w:tbl>
    <w:p w:rsidR="00487668" w:rsidRDefault="00487668" w:rsidP="00F10865">
      <w:pPr>
        <w:pStyle w:val="Default"/>
        <w:rPr>
          <w:rFonts w:ascii="Georgia" w:hAnsi="Georgia"/>
          <w:sz w:val="28"/>
          <w:szCs w:val="28"/>
        </w:rPr>
      </w:pPr>
    </w:p>
    <w:p w:rsidR="00DF0D45" w:rsidRDefault="00487668" w:rsidP="00946C54">
      <w:pPr>
        <w:pStyle w:val="Default"/>
        <w:jc w:val="both"/>
        <w:rPr>
          <w:rFonts w:ascii="Georgia" w:hAnsi="Georgia"/>
          <w:sz w:val="28"/>
          <w:szCs w:val="28"/>
        </w:rPr>
      </w:pPr>
      <w:r w:rsidRPr="00272F72">
        <w:rPr>
          <w:rFonts w:ascii="Georgia" w:hAnsi="Georgia"/>
          <w:sz w:val="28"/>
          <w:szCs w:val="28"/>
        </w:rPr>
        <w:t xml:space="preserve">The </w:t>
      </w:r>
      <w:r w:rsidR="00272F72" w:rsidRPr="00272F72">
        <w:rPr>
          <w:rFonts w:ascii="Georgia" w:hAnsi="Georgia"/>
          <w:sz w:val="28"/>
          <w:szCs w:val="28"/>
        </w:rPr>
        <w:t>Local-Level</w:t>
      </w:r>
      <w:r w:rsidRPr="00272F72">
        <w:rPr>
          <w:rFonts w:ascii="Georgia" w:hAnsi="Georgia"/>
          <w:sz w:val="28"/>
          <w:szCs w:val="28"/>
        </w:rPr>
        <w:t xml:space="preserve"> EO Officer has authority to direct that the EO </w:t>
      </w:r>
      <w:r w:rsidR="00874B60" w:rsidRPr="00272F72">
        <w:rPr>
          <w:rFonts w:ascii="Georgia" w:hAnsi="Georgia"/>
          <w:sz w:val="28"/>
          <w:szCs w:val="28"/>
        </w:rPr>
        <w:t>contact</w:t>
      </w:r>
      <w:r w:rsidRPr="00272F72">
        <w:rPr>
          <w:rFonts w:ascii="Georgia" w:hAnsi="Georgia"/>
          <w:sz w:val="28"/>
          <w:szCs w:val="28"/>
        </w:rPr>
        <w:t xml:space="preserve"> for each One-Stop Career Center conduct monitoring of its service providers and One-Stop partners</w:t>
      </w:r>
      <w:r w:rsidR="00A01EAB" w:rsidRPr="00272F72">
        <w:rPr>
          <w:rFonts w:ascii="Georgia" w:hAnsi="Georgia"/>
          <w:sz w:val="28"/>
          <w:szCs w:val="28"/>
        </w:rPr>
        <w:t>; r</w:t>
      </w:r>
      <w:r w:rsidRPr="00272F72">
        <w:rPr>
          <w:rFonts w:ascii="Georgia" w:hAnsi="Georgia"/>
          <w:sz w:val="28"/>
          <w:szCs w:val="28"/>
        </w:rPr>
        <w:t>equirements set forth in this policy continue to apply.</w:t>
      </w:r>
    </w:p>
    <w:p w:rsidR="00487668" w:rsidRDefault="00487668" w:rsidP="00F10865">
      <w:pPr>
        <w:pStyle w:val="Default"/>
        <w:rPr>
          <w:rFonts w:ascii="Georgia" w:hAnsi="Georgia"/>
          <w:sz w:val="28"/>
          <w:szCs w:val="28"/>
        </w:rPr>
      </w:pPr>
    </w:p>
    <w:p w:rsidR="00DF0D45" w:rsidRDefault="00DF0D45" w:rsidP="00F10865">
      <w:pPr>
        <w:pStyle w:val="Default"/>
        <w:rPr>
          <w:rFonts w:ascii="Georgia" w:hAnsi="Georgia"/>
          <w:sz w:val="28"/>
          <w:szCs w:val="28"/>
        </w:rPr>
      </w:pPr>
      <w:r>
        <w:rPr>
          <w:rFonts w:ascii="Georgia" w:hAnsi="Georgia"/>
          <w:b/>
          <w:sz w:val="28"/>
          <w:szCs w:val="28"/>
        </w:rPr>
        <w:t>Monitoring Tools</w:t>
      </w:r>
    </w:p>
    <w:p w:rsidR="00DF0D45" w:rsidRDefault="00DF0D45" w:rsidP="00F10865">
      <w:pPr>
        <w:pStyle w:val="Default"/>
        <w:rPr>
          <w:rFonts w:ascii="Georgia" w:hAnsi="Georgia"/>
          <w:sz w:val="28"/>
          <w:szCs w:val="28"/>
        </w:rPr>
      </w:pPr>
    </w:p>
    <w:p w:rsidR="00DF0D45" w:rsidRPr="00DF0D45" w:rsidRDefault="00DF0D45" w:rsidP="00946C54">
      <w:pPr>
        <w:pStyle w:val="Default"/>
        <w:jc w:val="both"/>
        <w:rPr>
          <w:rFonts w:ascii="Georgia" w:hAnsi="Georgia"/>
          <w:sz w:val="28"/>
          <w:szCs w:val="28"/>
        </w:rPr>
      </w:pPr>
      <w:r>
        <w:rPr>
          <w:rFonts w:ascii="Georgia" w:hAnsi="Georgia"/>
          <w:sz w:val="28"/>
          <w:szCs w:val="28"/>
        </w:rPr>
        <w:t xml:space="preserve">WIOA Section 188 monitoring of recipients shall be conducted using the </w:t>
      </w:r>
      <w:r w:rsidR="00874B60">
        <w:rPr>
          <w:rFonts w:ascii="Georgia" w:hAnsi="Georgia"/>
          <w:sz w:val="28"/>
          <w:szCs w:val="28"/>
        </w:rPr>
        <w:t xml:space="preserve">attached </w:t>
      </w:r>
      <w:r>
        <w:rPr>
          <w:rFonts w:ascii="Georgia" w:hAnsi="Georgia"/>
          <w:sz w:val="28"/>
          <w:szCs w:val="28"/>
        </w:rPr>
        <w:t>General Monitoring Checklist</w:t>
      </w:r>
      <w:r w:rsidR="004A6A2F">
        <w:rPr>
          <w:rFonts w:ascii="Georgia" w:hAnsi="Georgia"/>
          <w:sz w:val="28"/>
          <w:szCs w:val="28"/>
        </w:rPr>
        <w:t>. T</w:t>
      </w:r>
      <w:r>
        <w:rPr>
          <w:rFonts w:ascii="Georgia" w:hAnsi="Georgia"/>
          <w:sz w:val="28"/>
          <w:szCs w:val="28"/>
        </w:rPr>
        <w:t>he ADA Physical Access Checklist and ADA Accessible Design Check</w:t>
      </w:r>
      <w:r w:rsidR="004A6A2F">
        <w:rPr>
          <w:rFonts w:ascii="Georgia" w:hAnsi="Georgia"/>
          <w:sz w:val="28"/>
          <w:szCs w:val="28"/>
        </w:rPr>
        <w:t>list also will be used, as appropriate.</w:t>
      </w:r>
    </w:p>
    <w:p w:rsidR="00571BE3" w:rsidRPr="00C210FD" w:rsidRDefault="00571BE3" w:rsidP="00F10865">
      <w:pPr>
        <w:pStyle w:val="Default"/>
        <w:rPr>
          <w:rFonts w:ascii="Georgia" w:hAnsi="Georgia"/>
          <w:sz w:val="28"/>
          <w:szCs w:val="28"/>
        </w:rPr>
      </w:pPr>
    </w:p>
    <w:p w:rsidR="004A6A2F" w:rsidRDefault="004A6A2F" w:rsidP="00831B5C">
      <w:pPr>
        <w:pStyle w:val="Default"/>
        <w:rPr>
          <w:rFonts w:ascii="Georgia" w:hAnsi="Georgia"/>
          <w:b/>
          <w:bCs/>
          <w:sz w:val="28"/>
          <w:szCs w:val="28"/>
        </w:rPr>
      </w:pPr>
      <w:r>
        <w:rPr>
          <w:rFonts w:ascii="Georgia" w:hAnsi="Georgia"/>
          <w:b/>
          <w:bCs/>
          <w:sz w:val="28"/>
          <w:szCs w:val="28"/>
        </w:rPr>
        <w:t xml:space="preserve">Monitoring Process </w:t>
      </w:r>
    </w:p>
    <w:p w:rsidR="004A6A2F" w:rsidRDefault="004A6A2F" w:rsidP="00831B5C">
      <w:pPr>
        <w:pStyle w:val="Default"/>
        <w:rPr>
          <w:rFonts w:ascii="Georgia" w:hAnsi="Georgia"/>
          <w:b/>
          <w:bCs/>
          <w:sz w:val="28"/>
          <w:szCs w:val="28"/>
        </w:rPr>
      </w:pPr>
    </w:p>
    <w:p w:rsidR="004A6A2F" w:rsidRDefault="004A6A2F" w:rsidP="00946C54">
      <w:pPr>
        <w:pStyle w:val="Default"/>
        <w:jc w:val="both"/>
        <w:rPr>
          <w:rFonts w:ascii="Georgia" w:hAnsi="Georgia"/>
          <w:sz w:val="28"/>
          <w:szCs w:val="28"/>
        </w:rPr>
      </w:pPr>
      <w:r>
        <w:rPr>
          <w:rFonts w:ascii="Georgia" w:hAnsi="Georgia"/>
          <w:sz w:val="28"/>
          <w:szCs w:val="28"/>
          <w:u w:val="single"/>
        </w:rPr>
        <w:t>Step 1:</w:t>
      </w:r>
      <w:r>
        <w:rPr>
          <w:rFonts w:ascii="Georgia" w:hAnsi="Georgia"/>
          <w:sz w:val="28"/>
          <w:szCs w:val="28"/>
        </w:rPr>
        <w:t xml:space="preserve"> A notification letter, with monitoring tools attached, is transmitted to the recipient</w:t>
      </w:r>
      <w:r w:rsidR="008758A1">
        <w:rPr>
          <w:rFonts w:ascii="Georgia" w:hAnsi="Georgia"/>
          <w:sz w:val="28"/>
          <w:szCs w:val="28"/>
        </w:rPr>
        <w:t xml:space="preserve"> at least 30 days in advance of monitoring</w:t>
      </w:r>
      <w:r>
        <w:rPr>
          <w:rFonts w:ascii="Georgia" w:hAnsi="Georgia"/>
          <w:sz w:val="28"/>
          <w:szCs w:val="28"/>
        </w:rPr>
        <w:t xml:space="preserve">. The notification </w:t>
      </w:r>
      <w:r>
        <w:rPr>
          <w:rFonts w:ascii="Georgia" w:hAnsi="Georgia"/>
          <w:sz w:val="28"/>
          <w:szCs w:val="28"/>
        </w:rPr>
        <w:lastRenderedPageBreak/>
        <w:t xml:space="preserve">letter sets forth the due date </w:t>
      </w:r>
      <w:r w:rsidR="008758A1">
        <w:rPr>
          <w:rFonts w:ascii="Georgia" w:hAnsi="Georgia"/>
          <w:sz w:val="28"/>
          <w:szCs w:val="28"/>
        </w:rPr>
        <w:t xml:space="preserve">for submission of the completed </w:t>
      </w:r>
      <w:r w:rsidR="00C91AC4">
        <w:rPr>
          <w:rFonts w:ascii="Georgia" w:hAnsi="Georgia"/>
          <w:sz w:val="28"/>
          <w:szCs w:val="28"/>
        </w:rPr>
        <w:t>monitoring Report</w:t>
      </w:r>
      <w:r>
        <w:rPr>
          <w:rFonts w:ascii="Georgia" w:hAnsi="Georgia"/>
          <w:sz w:val="28"/>
          <w:szCs w:val="28"/>
        </w:rPr>
        <w:t>.</w:t>
      </w:r>
      <w:r w:rsidR="008758A1">
        <w:rPr>
          <w:rFonts w:ascii="Georgia" w:hAnsi="Georgia"/>
          <w:sz w:val="28"/>
          <w:szCs w:val="28"/>
        </w:rPr>
        <w:t xml:space="preserve"> The letter also should note whether the monitoring will be conducted as a desk audit, onsite review, or a combination of both.</w:t>
      </w:r>
    </w:p>
    <w:p w:rsidR="004A6A2F" w:rsidRDefault="004A6A2F" w:rsidP="00946C54">
      <w:pPr>
        <w:pStyle w:val="Default"/>
        <w:jc w:val="both"/>
        <w:rPr>
          <w:rFonts w:ascii="Georgia" w:hAnsi="Georgia"/>
          <w:sz w:val="28"/>
          <w:szCs w:val="28"/>
        </w:rPr>
      </w:pPr>
    </w:p>
    <w:p w:rsidR="00831B5C" w:rsidRDefault="004A6A2F" w:rsidP="00946C54">
      <w:pPr>
        <w:pStyle w:val="Default"/>
        <w:jc w:val="both"/>
        <w:rPr>
          <w:rFonts w:ascii="Georgia" w:hAnsi="Georgia"/>
          <w:sz w:val="28"/>
          <w:szCs w:val="28"/>
        </w:rPr>
      </w:pPr>
      <w:r>
        <w:rPr>
          <w:rFonts w:ascii="Georgia" w:hAnsi="Georgia"/>
          <w:sz w:val="28"/>
          <w:szCs w:val="28"/>
          <w:u w:val="single"/>
        </w:rPr>
        <w:t>Step 2:</w:t>
      </w:r>
      <w:r>
        <w:rPr>
          <w:rFonts w:ascii="Georgia" w:hAnsi="Georgia"/>
          <w:sz w:val="28"/>
          <w:szCs w:val="28"/>
        </w:rPr>
        <w:t xml:space="preserve"> The </w:t>
      </w:r>
      <w:r w:rsidR="00A01EAB">
        <w:rPr>
          <w:rFonts w:ascii="Georgia" w:hAnsi="Georgia"/>
          <w:sz w:val="28"/>
          <w:szCs w:val="28"/>
        </w:rPr>
        <w:t xml:space="preserve">recipient’s </w:t>
      </w:r>
      <w:r>
        <w:rPr>
          <w:rFonts w:ascii="Georgia" w:hAnsi="Georgia"/>
          <w:sz w:val="28"/>
          <w:szCs w:val="28"/>
        </w:rPr>
        <w:t xml:space="preserve">EO </w:t>
      </w:r>
      <w:r w:rsidR="00C91AC4">
        <w:rPr>
          <w:rFonts w:ascii="Georgia" w:hAnsi="Georgia"/>
          <w:sz w:val="28"/>
          <w:szCs w:val="28"/>
        </w:rPr>
        <w:t>contact</w:t>
      </w:r>
      <w:r>
        <w:rPr>
          <w:rFonts w:ascii="Georgia" w:hAnsi="Georgia"/>
          <w:sz w:val="28"/>
          <w:szCs w:val="28"/>
        </w:rPr>
        <w:t xml:space="preserve"> conducts a statistical analysis of the recipient’s service area population and inserts the results in the </w:t>
      </w:r>
      <w:r w:rsidR="00C91AC4">
        <w:rPr>
          <w:rFonts w:ascii="Georgia" w:hAnsi="Georgia"/>
          <w:sz w:val="28"/>
          <w:szCs w:val="28"/>
        </w:rPr>
        <w:t>monitoring report</w:t>
      </w:r>
      <w:r>
        <w:rPr>
          <w:rFonts w:ascii="Georgia" w:hAnsi="Georgia"/>
          <w:sz w:val="28"/>
          <w:szCs w:val="28"/>
        </w:rPr>
        <w:t>.</w:t>
      </w:r>
      <w:r w:rsidR="00831B5C" w:rsidRPr="00C210FD">
        <w:rPr>
          <w:rFonts w:ascii="Georgia" w:hAnsi="Georgia"/>
          <w:sz w:val="28"/>
          <w:szCs w:val="28"/>
        </w:rPr>
        <w:t xml:space="preserve"> </w:t>
      </w:r>
    </w:p>
    <w:p w:rsidR="004A6A2F" w:rsidRDefault="004A6A2F" w:rsidP="00946C54">
      <w:pPr>
        <w:pStyle w:val="Default"/>
        <w:jc w:val="both"/>
        <w:rPr>
          <w:rFonts w:ascii="Georgia" w:hAnsi="Georgia"/>
          <w:sz w:val="28"/>
          <w:szCs w:val="28"/>
        </w:rPr>
      </w:pPr>
    </w:p>
    <w:p w:rsidR="004A6A2F" w:rsidRPr="00272F72" w:rsidRDefault="004A6A2F" w:rsidP="00946C54">
      <w:pPr>
        <w:pStyle w:val="Default"/>
        <w:jc w:val="both"/>
        <w:rPr>
          <w:rFonts w:ascii="Georgia" w:hAnsi="Georgia"/>
          <w:sz w:val="28"/>
          <w:szCs w:val="28"/>
        </w:rPr>
      </w:pPr>
      <w:r w:rsidRPr="00272F72">
        <w:rPr>
          <w:rFonts w:ascii="Georgia" w:hAnsi="Georgia"/>
          <w:sz w:val="28"/>
          <w:szCs w:val="28"/>
          <w:u w:val="single"/>
        </w:rPr>
        <w:t>Step 3:</w:t>
      </w:r>
      <w:r w:rsidRPr="00272F72">
        <w:rPr>
          <w:rFonts w:ascii="Georgia" w:hAnsi="Georgia"/>
          <w:sz w:val="28"/>
          <w:szCs w:val="28"/>
        </w:rPr>
        <w:t xml:space="preserve"> </w:t>
      </w:r>
      <w:r w:rsidR="008758A1" w:rsidRPr="00272F72">
        <w:rPr>
          <w:rFonts w:ascii="Georgia" w:hAnsi="Georgia"/>
          <w:sz w:val="28"/>
          <w:szCs w:val="28"/>
        </w:rPr>
        <w:t xml:space="preserve">On an </w:t>
      </w:r>
      <w:r w:rsidR="008758A1" w:rsidRPr="00272F72">
        <w:rPr>
          <w:rFonts w:ascii="Georgia" w:hAnsi="Georgia"/>
          <w:sz w:val="28"/>
          <w:szCs w:val="28"/>
          <w:u w:val="single"/>
        </w:rPr>
        <w:t>annual basis</w:t>
      </w:r>
      <w:r w:rsidR="008758A1" w:rsidRPr="00272F72">
        <w:rPr>
          <w:rFonts w:ascii="Georgia" w:hAnsi="Georgia"/>
          <w:sz w:val="28"/>
          <w:szCs w:val="28"/>
        </w:rPr>
        <w:t>, t</w:t>
      </w:r>
      <w:r w:rsidRPr="00272F72">
        <w:rPr>
          <w:rFonts w:ascii="Georgia" w:hAnsi="Georgia"/>
          <w:sz w:val="28"/>
          <w:szCs w:val="28"/>
        </w:rPr>
        <w:t xml:space="preserve">he </w:t>
      </w:r>
      <w:r w:rsidR="00A01EAB" w:rsidRPr="00272F72">
        <w:rPr>
          <w:rFonts w:ascii="Georgia" w:hAnsi="Georgia"/>
          <w:sz w:val="28"/>
          <w:szCs w:val="28"/>
        </w:rPr>
        <w:t xml:space="preserve">recipient’s </w:t>
      </w:r>
      <w:r w:rsidRPr="00272F72">
        <w:rPr>
          <w:rFonts w:ascii="Georgia" w:hAnsi="Georgia"/>
          <w:sz w:val="28"/>
          <w:szCs w:val="28"/>
        </w:rPr>
        <w:t xml:space="preserve">EO </w:t>
      </w:r>
      <w:r w:rsidR="007272F5" w:rsidRPr="00272F72">
        <w:rPr>
          <w:rFonts w:ascii="Georgia" w:hAnsi="Georgia"/>
          <w:sz w:val="28"/>
          <w:szCs w:val="28"/>
        </w:rPr>
        <w:t xml:space="preserve">contact </w:t>
      </w:r>
      <w:r w:rsidRPr="00272F72">
        <w:rPr>
          <w:rFonts w:ascii="Georgia" w:hAnsi="Georgia"/>
          <w:sz w:val="28"/>
          <w:szCs w:val="28"/>
        </w:rPr>
        <w:t>conducts a self-evaluation of the One Stop Career Center and sub-recipients and reports the o</w:t>
      </w:r>
      <w:r w:rsidR="00C91AC4" w:rsidRPr="00272F72">
        <w:rPr>
          <w:rFonts w:ascii="Georgia" w:hAnsi="Georgia"/>
          <w:sz w:val="28"/>
          <w:szCs w:val="28"/>
        </w:rPr>
        <w:t>bservations and findings on the Monitoring Report</w:t>
      </w:r>
      <w:r w:rsidRPr="00272F72">
        <w:rPr>
          <w:rFonts w:ascii="Georgia" w:hAnsi="Georgia"/>
          <w:sz w:val="28"/>
          <w:szCs w:val="28"/>
        </w:rPr>
        <w:t xml:space="preserve">. </w:t>
      </w:r>
    </w:p>
    <w:p w:rsidR="008758A1" w:rsidRPr="00272F72" w:rsidRDefault="008758A1" w:rsidP="00946C54">
      <w:pPr>
        <w:pStyle w:val="Default"/>
        <w:jc w:val="both"/>
        <w:rPr>
          <w:rFonts w:ascii="Georgia" w:hAnsi="Georgia"/>
          <w:sz w:val="28"/>
          <w:szCs w:val="28"/>
        </w:rPr>
      </w:pPr>
    </w:p>
    <w:p w:rsidR="008758A1" w:rsidRDefault="008758A1" w:rsidP="00946C54">
      <w:pPr>
        <w:pStyle w:val="Default"/>
        <w:jc w:val="both"/>
        <w:rPr>
          <w:rFonts w:ascii="Georgia" w:hAnsi="Georgia"/>
          <w:sz w:val="28"/>
          <w:szCs w:val="28"/>
        </w:rPr>
      </w:pPr>
      <w:r w:rsidRPr="00272F72">
        <w:rPr>
          <w:rFonts w:ascii="Georgia" w:hAnsi="Georgia"/>
          <w:sz w:val="28"/>
          <w:szCs w:val="28"/>
          <w:u w:val="single"/>
        </w:rPr>
        <w:t>Every three years</w:t>
      </w:r>
      <w:r w:rsidRPr="00272F72">
        <w:rPr>
          <w:rFonts w:ascii="Georgia" w:hAnsi="Georgia"/>
          <w:sz w:val="28"/>
          <w:szCs w:val="28"/>
        </w:rPr>
        <w:t xml:space="preserve">, an onsite monitoring is conducted of each One Stop Career Center and sub-recipient. </w:t>
      </w:r>
      <w:r w:rsidR="002268AF" w:rsidRPr="00272F72">
        <w:rPr>
          <w:rFonts w:ascii="Georgia" w:hAnsi="Georgia"/>
          <w:sz w:val="28"/>
          <w:szCs w:val="28"/>
        </w:rPr>
        <w:t xml:space="preserve">Prior to arriving onsite, the </w:t>
      </w:r>
      <w:r w:rsidR="00A01EAB" w:rsidRPr="00272F72">
        <w:rPr>
          <w:rFonts w:ascii="Georgia" w:hAnsi="Georgia"/>
          <w:sz w:val="28"/>
          <w:szCs w:val="28"/>
        </w:rPr>
        <w:t xml:space="preserve">monitoring </w:t>
      </w:r>
      <w:r w:rsidR="002268AF" w:rsidRPr="00272F72">
        <w:rPr>
          <w:rFonts w:ascii="Georgia" w:hAnsi="Georgia"/>
          <w:sz w:val="28"/>
          <w:szCs w:val="28"/>
        </w:rPr>
        <w:t xml:space="preserve">EO Officer should conduct a preliminary analysis of the recipient’s service area population. Prior to arriving onsite, the </w:t>
      </w:r>
      <w:r w:rsidR="00A01EAB" w:rsidRPr="00272F72">
        <w:rPr>
          <w:rFonts w:ascii="Georgia" w:hAnsi="Georgia"/>
          <w:sz w:val="28"/>
          <w:szCs w:val="28"/>
        </w:rPr>
        <w:t xml:space="preserve">monitoring </w:t>
      </w:r>
      <w:r w:rsidR="002268AF" w:rsidRPr="00272F72">
        <w:rPr>
          <w:rFonts w:ascii="Georgia" w:hAnsi="Georgia"/>
          <w:sz w:val="28"/>
          <w:szCs w:val="28"/>
        </w:rPr>
        <w:t xml:space="preserve">EO Officer shall meet with the recipient’s </w:t>
      </w:r>
      <w:r w:rsidRPr="00272F72">
        <w:rPr>
          <w:rFonts w:ascii="Georgia" w:hAnsi="Georgia"/>
          <w:sz w:val="28"/>
          <w:szCs w:val="28"/>
        </w:rPr>
        <w:t xml:space="preserve">EO </w:t>
      </w:r>
      <w:r w:rsidR="007272F5" w:rsidRPr="00272F72">
        <w:rPr>
          <w:rFonts w:ascii="Georgia" w:hAnsi="Georgia"/>
          <w:sz w:val="28"/>
          <w:szCs w:val="28"/>
        </w:rPr>
        <w:t>contact</w:t>
      </w:r>
      <w:r w:rsidR="002268AF" w:rsidRPr="00272F72">
        <w:rPr>
          <w:rFonts w:ascii="Georgia" w:hAnsi="Georgia"/>
          <w:sz w:val="28"/>
          <w:szCs w:val="28"/>
        </w:rPr>
        <w:t xml:space="preserve"> and leadership</w:t>
      </w:r>
      <w:r w:rsidRPr="00272F72">
        <w:rPr>
          <w:rFonts w:ascii="Georgia" w:hAnsi="Georgia"/>
          <w:sz w:val="28"/>
          <w:szCs w:val="28"/>
        </w:rPr>
        <w:t xml:space="preserve"> to discuss the scope of the review, make arrangements for client and staff interviews or file reviews, and to discuss preliminary findings.</w:t>
      </w:r>
      <w:r w:rsidRPr="00C210FD">
        <w:rPr>
          <w:rFonts w:ascii="Georgia" w:hAnsi="Georgia"/>
          <w:sz w:val="28"/>
          <w:szCs w:val="28"/>
        </w:rPr>
        <w:t xml:space="preserve"> </w:t>
      </w:r>
    </w:p>
    <w:p w:rsidR="002268AF" w:rsidRPr="00C210FD" w:rsidRDefault="002268AF" w:rsidP="008758A1">
      <w:pPr>
        <w:pStyle w:val="Default"/>
        <w:rPr>
          <w:rFonts w:ascii="Georgia" w:hAnsi="Georgia"/>
          <w:sz w:val="28"/>
          <w:szCs w:val="28"/>
        </w:rPr>
      </w:pPr>
    </w:p>
    <w:p w:rsidR="008758A1" w:rsidRDefault="002268AF" w:rsidP="008758A1">
      <w:pPr>
        <w:pStyle w:val="Default"/>
        <w:rPr>
          <w:rFonts w:ascii="Georgia" w:hAnsi="Georgia"/>
          <w:sz w:val="28"/>
          <w:szCs w:val="28"/>
        </w:rPr>
      </w:pPr>
      <w:r>
        <w:rPr>
          <w:rFonts w:ascii="Georgia" w:hAnsi="Georgia"/>
          <w:sz w:val="28"/>
          <w:szCs w:val="28"/>
        </w:rPr>
        <w:t>The onsite monitoring will address the following:</w:t>
      </w:r>
      <w:r w:rsidR="008758A1" w:rsidRPr="00C210FD">
        <w:rPr>
          <w:rFonts w:ascii="Georgia" w:hAnsi="Georgia"/>
          <w:sz w:val="28"/>
          <w:szCs w:val="28"/>
        </w:rPr>
        <w:t xml:space="preserve"> </w:t>
      </w:r>
    </w:p>
    <w:p w:rsidR="00487668" w:rsidRPr="00C210FD" w:rsidRDefault="00487668" w:rsidP="008758A1">
      <w:pPr>
        <w:pStyle w:val="Default"/>
        <w:rPr>
          <w:rFonts w:ascii="Georgia" w:hAnsi="Georgia"/>
          <w:sz w:val="28"/>
          <w:szCs w:val="28"/>
        </w:rPr>
      </w:pPr>
    </w:p>
    <w:p w:rsidR="002268AF" w:rsidRDefault="008758A1" w:rsidP="008758A1">
      <w:pPr>
        <w:pStyle w:val="Default"/>
        <w:numPr>
          <w:ilvl w:val="0"/>
          <w:numId w:val="4"/>
        </w:numPr>
        <w:rPr>
          <w:rFonts w:ascii="Georgia" w:hAnsi="Georgia"/>
          <w:sz w:val="28"/>
          <w:szCs w:val="28"/>
        </w:rPr>
      </w:pPr>
      <w:r w:rsidRPr="00C210FD">
        <w:rPr>
          <w:rFonts w:ascii="Georgia" w:hAnsi="Georgia"/>
          <w:sz w:val="28"/>
          <w:szCs w:val="28"/>
        </w:rPr>
        <w:t xml:space="preserve">Staff composition; </w:t>
      </w:r>
    </w:p>
    <w:p w:rsidR="00487668" w:rsidRDefault="00487668" w:rsidP="008758A1">
      <w:pPr>
        <w:pStyle w:val="Default"/>
        <w:numPr>
          <w:ilvl w:val="0"/>
          <w:numId w:val="4"/>
        </w:numPr>
        <w:rPr>
          <w:rFonts w:ascii="Georgia" w:hAnsi="Georgia"/>
          <w:sz w:val="28"/>
          <w:szCs w:val="28"/>
        </w:rPr>
      </w:pPr>
      <w:r>
        <w:rPr>
          <w:rFonts w:ascii="Georgia" w:hAnsi="Georgia"/>
          <w:sz w:val="28"/>
          <w:szCs w:val="28"/>
        </w:rPr>
        <w:t>Identity</w:t>
      </w:r>
      <w:r w:rsidR="00A01EAB">
        <w:rPr>
          <w:rFonts w:ascii="Georgia" w:hAnsi="Georgia"/>
          <w:sz w:val="28"/>
          <w:szCs w:val="28"/>
        </w:rPr>
        <w:t xml:space="preserve"> and qualifications </w:t>
      </w:r>
      <w:r>
        <w:rPr>
          <w:rFonts w:ascii="Georgia" w:hAnsi="Georgia"/>
          <w:sz w:val="28"/>
          <w:szCs w:val="28"/>
        </w:rPr>
        <w:t xml:space="preserve">of </w:t>
      </w:r>
      <w:r w:rsidR="00A01EAB">
        <w:rPr>
          <w:rFonts w:ascii="Georgia" w:hAnsi="Georgia"/>
          <w:sz w:val="28"/>
          <w:szCs w:val="28"/>
        </w:rPr>
        <w:t>the recipient’s</w:t>
      </w:r>
      <w:r>
        <w:rPr>
          <w:rFonts w:ascii="Georgia" w:hAnsi="Georgia"/>
          <w:sz w:val="28"/>
          <w:szCs w:val="28"/>
        </w:rPr>
        <w:t xml:space="preserve"> EO Officer, including other duties performed, reporting structure, staffing, training, and budget provided to the </w:t>
      </w:r>
      <w:r w:rsidR="00A01EAB">
        <w:rPr>
          <w:rFonts w:ascii="Georgia" w:hAnsi="Georgia"/>
          <w:sz w:val="28"/>
          <w:szCs w:val="28"/>
        </w:rPr>
        <w:t xml:space="preserve">recipient’s </w:t>
      </w:r>
      <w:r>
        <w:rPr>
          <w:rFonts w:ascii="Georgia" w:hAnsi="Georgia"/>
          <w:sz w:val="28"/>
          <w:szCs w:val="28"/>
        </w:rPr>
        <w:t>EO Officer by the recipient;</w:t>
      </w:r>
    </w:p>
    <w:p w:rsidR="002268AF" w:rsidRDefault="008758A1" w:rsidP="008758A1">
      <w:pPr>
        <w:pStyle w:val="Default"/>
        <w:numPr>
          <w:ilvl w:val="0"/>
          <w:numId w:val="4"/>
        </w:numPr>
        <w:rPr>
          <w:rFonts w:ascii="Georgia" w:hAnsi="Georgia"/>
          <w:sz w:val="28"/>
          <w:szCs w:val="28"/>
        </w:rPr>
      </w:pPr>
      <w:r w:rsidRPr="002268AF">
        <w:rPr>
          <w:rFonts w:ascii="Georgia" w:hAnsi="Georgia"/>
          <w:sz w:val="28"/>
          <w:szCs w:val="28"/>
        </w:rPr>
        <w:t xml:space="preserve">Management and client interviews; </w:t>
      </w:r>
    </w:p>
    <w:p w:rsidR="002268AF" w:rsidRDefault="008758A1" w:rsidP="008758A1">
      <w:pPr>
        <w:pStyle w:val="Default"/>
        <w:numPr>
          <w:ilvl w:val="0"/>
          <w:numId w:val="4"/>
        </w:numPr>
        <w:rPr>
          <w:rFonts w:ascii="Georgia" w:hAnsi="Georgia"/>
          <w:sz w:val="28"/>
          <w:szCs w:val="28"/>
        </w:rPr>
      </w:pPr>
      <w:r w:rsidRPr="002268AF">
        <w:rPr>
          <w:rFonts w:ascii="Georgia" w:hAnsi="Georgia"/>
          <w:sz w:val="28"/>
          <w:szCs w:val="28"/>
        </w:rPr>
        <w:t>Staff awareness of nondiscriminat</w:t>
      </w:r>
      <w:r w:rsidR="002268AF">
        <w:rPr>
          <w:rFonts w:ascii="Georgia" w:hAnsi="Georgia"/>
          <w:sz w:val="28"/>
          <w:szCs w:val="28"/>
        </w:rPr>
        <w:t>ion and equal opportunity laws;</w:t>
      </w:r>
    </w:p>
    <w:p w:rsidR="002268AF" w:rsidRDefault="008758A1" w:rsidP="008758A1">
      <w:pPr>
        <w:pStyle w:val="Default"/>
        <w:numPr>
          <w:ilvl w:val="0"/>
          <w:numId w:val="4"/>
        </w:numPr>
        <w:rPr>
          <w:rFonts w:ascii="Georgia" w:hAnsi="Georgia"/>
          <w:sz w:val="28"/>
          <w:szCs w:val="28"/>
        </w:rPr>
      </w:pPr>
      <w:r w:rsidRPr="002268AF">
        <w:rPr>
          <w:rFonts w:ascii="Georgia" w:hAnsi="Georgia"/>
          <w:sz w:val="28"/>
          <w:szCs w:val="28"/>
        </w:rPr>
        <w:t xml:space="preserve">Complaint files (if appropriate); </w:t>
      </w:r>
    </w:p>
    <w:p w:rsidR="002268AF" w:rsidRDefault="002268AF" w:rsidP="008758A1">
      <w:pPr>
        <w:pStyle w:val="Default"/>
        <w:numPr>
          <w:ilvl w:val="0"/>
          <w:numId w:val="4"/>
        </w:numPr>
        <w:rPr>
          <w:rFonts w:ascii="Georgia" w:hAnsi="Georgia"/>
          <w:sz w:val="28"/>
          <w:szCs w:val="28"/>
        </w:rPr>
      </w:pPr>
      <w:r>
        <w:rPr>
          <w:rFonts w:ascii="Georgia" w:hAnsi="Georgia"/>
          <w:sz w:val="28"/>
          <w:szCs w:val="28"/>
        </w:rPr>
        <w:t>Participant</w:t>
      </w:r>
      <w:r w:rsidR="008758A1" w:rsidRPr="002268AF">
        <w:rPr>
          <w:rFonts w:ascii="Georgia" w:hAnsi="Georgia"/>
          <w:sz w:val="28"/>
          <w:szCs w:val="28"/>
        </w:rPr>
        <w:t xml:space="preserve"> files; </w:t>
      </w:r>
    </w:p>
    <w:p w:rsidR="002268AF" w:rsidRDefault="008758A1" w:rsidP="008758A1">
      <w:pPr>
        <w:pStyle w:val="Default"/>
        <w:numPr>
          <w:ilvl w:val="0"/>
          <w:numId w:val="4"/>
        </w:numPr>
        <w:rPr>
          <w:rFonts w:ascii="Georgia" w:hAnsi="Georgia"/>
          <w:sz w:val="28"/>
          <w:szCs w:val="28"/>
        </w:rPr>
      </w:pPr>
      <w:r w:rsidRPr="002268AF">
        <w:rPr>
          <w:rFonts w:ascii="Georgia" w:hAnsi="Georgia"/>
          <w:sz w:val="28"/>
          <w:szCs w:val="28"/>
        </w:rPr>
        <w:t xml:space="preserve">Physical aspects of the site — programmatic and architectural accessibility; </w:t>
      </w:r>
    </w:p>
    <w:p w:rsidR="002268AF" w:rsidRDefault="008758A1" w:rsidP="008758A1">
      <w:pPr>
        <w:pStyle w:val="Default"/>
        <w:numPr>
          <w:ilvl w:val="0"/>
          <w:numId w:val="4"/>
        </w:numPr>
        <w:rPr>
          <w:rFonts w:ascii="Georgia" w:hAnsi="Georgia"/>
          <w:sz w:val="28"/>
          <w:szCs w:val="28"/>
        </w:rPr>
      </w:pPr>
      <w:r w:rsidRPr="002268AF">
        <w:rPr>
          <w:rFonts w:ascii="Georgia" w:hAnsi="Georgia"/>
          <w:sz w:val="28"/>
          <w:szCs w:val="28"/>
        </w:rPr>
        <w:t>Observ</w:t>
      </w:r>
      <w:r w:rsidR="002268AF">
        <w:rPr>
          <w:rFonts w:ascii="Georgia" w:hAnsi="Georgia"/>
          <w:sz w:val="28"/>
          <w:szCs w:val="28"/>
        </w:rPr>
        <w:t>ing</w:t>
      </w:r>
      <w:r w:rsidRPr="002268AF">
        <w:rPr>
          <w:rFonts w:ascii="Georgia" w:hAnsi="Georgia"/>
          <w:sz w:val="28"/>
          <w:szCs w:val="28"/>
        </w:rPr>
        <w:t xml:space="preserve"> of reception, intake, and assessment processes, if applicable</w:t>
      </w:r>
      <w:r w:rsidR="002268AF">
        <w:rPr>
          <w:rFonts w:ascii="Georgia" w:hAnsi="Georgia"/>
          <w:sz w:val="28"/>
          <w:szCs w:val="28"/>
        </w:rPr>
        <w:t>, and whether these processes are accessible by individuals with disabilities and limited English proficient individuals</w:t>
      </w:r>
      <w:r w:rsidRPr="002268AF">
        <w:rPr>
          <w:rFonts w:ascii="Georgia" w:hAnsi="Georgia"/>
          <w:sz w:val="28"/>
          <w:szCs w:val="28"/>
        </w:rPr>
        <w:t xml:space="preserve">; </w:t>
      </w:r>
    </w:p>
    <w:p w:rsidR="002268AF" w:rsidRDefault="002268AF" w:rsidP="008758A1">
      <w:pPr>
        <w:pStyle w:val="Default"/>
        <w:numPr>
          <w:ilvl w:val="0"/>
          <w:numId w:val="4"/>
        </w:numPr>
        <w:rPr>
          <w:rFonts w:ascii="Georgia" w:hAnsi="Georgia"/>
          <w:sz w:val="28"/>
          <w:szCs w:val="28"/>
        </w:rPr>
      </w:pPr>
      <w:r>
        <w:rPr>
          <w:rFonts w:ascii="Georgia" w:hAnsi="Georgia"/>
          <w:sz w:val="28"/>
          <w:szCs w:val="28"/>
        </w:rPr>
        <w:t>Review of the recipient’s e</w:t>
      </w:r>
      <w:r w:rsidR="008758A1" w:rsidRPr="002268AF">
        <w:rPr>
          <w:rFonts w:ascii="Georgia" w:hAnsi="Georgia"/>
          <w:sz w:val="28"/>
          <w:szCs w:val="28"/>
        </w:rPr>
        <w:t xml:space="preserve">qual opportunity policies; </w:t>
      </w:r>
    </w:p>
    <w:p w:rsidR="002268AF" w:rsidRDefault="008758A1" w:rsidP="008758A1">
      <w:pPr>
        <w:pStyle w:val="Default"/>
        <w:numPr>
          <w:ilvl w:val="0"/>
          <w:numId w:val="4"/>
        </w:numPr>
        <w:rPr>
          <w:rFonts w:ascii="Georgia" w:hAnsi="Georgia"/>
          <w:sz w:val="28"/>
          <w:szCs w:val="28"/>
        </w:rPr>
      </w:pPr>
      <w:r w:rsidRPr="002268AF">
        <w:rPr>
          <w:rFonts w:ascii="Georgia" w:hAnsi="Georgia"/>
          <w:sz w:val="28"/>
          <w:szCs w:val="28"/>
        </w:rPr>
        <w:t>Interviews with community-based organizations</w:t>
      </w:r>
      <w:r w:rsidR="002268AF">
        <w:rPr>
          <w:rFonts w:ascii="Georgia" w:hAnsi="Georgia"/>
          <w:sz w:val="28"/>
          <w:szCs w:val="28"/>
        </w:rPr>
        <w:t xml:space="preserve"> and advocacy groups, as appropriate</w:t>
      </w:r>
      <w:r w:rsidRPr="002268AF">
        <w:rPr>
          <w:rFonts w:ascii="Georgia" w:hAnsi="Georgia"/>
          <w:sz w:val="28"/>
          <w:szCs w:val="28"/>
        </w:rPr>
        <w:t xml:space="preserve">; </w:t>
      </w:r>
    </w:p>
    <w:p w:rsidR="002268AF" w:rsidRDefault="008758A1" w:rsidP="008758A1">
      <w:pPr>
        <w:pStyle w:val="Default"/>
        <w:numPr>
          <w:ilvl w:val="0"/>
          <w:numId w:val="4"/>
        </w:numPr>
        <w:rPr>
          <w:rFonts w:ascii="Georgia" w:hAnsi="Georgia"/>
          <w:sz w:val="28"/>
          <w:szCs w:val="28"/>
        </w:rPr>
      </w:pPr>
      <w:r w:rsidRPr="002268AF">
        <w:rPr>
          <w:rFonts w:ascii="Georgia" w:hAnsi="Georgia"/>
          <w:sz w:val="28"/>
          <w:szCs w:val="28"/>
        </w:rPr>
        <w:t>Agreements</w:t>
      </w:r>
      <w:r w:rsidR="002268AF">
        <w:rPr>
          <w:rFonts w:ascii="Georgia" w:hAnsi="Georgia"/>
          <w:sz w:val="28"/>
          <w:szCs w:val="28"/>
        </w:rPr>
        <w:t>, contracts, memoranda of understanding and other arrangements to ensure compliance with WIOA Section 188</w:t>
      </w:r>
      <w:r w:rsidRPr="002268AF">
        <w:rPr>
          <w:rFonts w:ascii="Georgia" w:hAnsi="Georgia"/>
          <w:sz w:val="28"/>
          <w:szCs w:val="28"/>
        </w:rPr>
        <w:t xml:space="preserve">; and </w:t>
      </w:r>
    </w:p>
    <w:p w:rsidR="008758A1" w:rsidRPr="002268AF" w:rsidRDefault="008758A1" w:rsidP="008758A1">
      <w:pPr>
        <w:pStyle w:val="Default"/>
        <w:numPr>
          <w:ilvl w:val="0"/>
          <w:numId w:val="4"/>
        </w:numPr>
        <w:rPr>
          <w:rFonts w:ascii="Georgia" w:hAnsi="Georgia"/>
          <w:sz w:val="28"/>
          <w:szCs w:val="28"/>
        </w:rPr>
      </w:pPr>
      <w:r w:rsidRPr="002268AF">
        <w:rPr>
          <w:rFonts w:ascii="Georgia" w:hAnsi="Georgia"/>
          <w:sz w:val="28"/>
          <w:szCs w:val="28"/>
        </w:rPr>
        <w:lastRenderedPageBreak/>
        <w:t xml:space="preserve">Display of </w:t>
      </w:r>
      <w:r w:rsidR="002268AF">
        <w:rPr>
          <w:rFonts w:ascii="Georgia" w:hAnsi="Georgia"/>
          <w:sz w:val="28"/>
          <w:szCs w:val="28"/>
        </w:rPr>
        <w:t>the</w:t>
      </w:r>
      <w:r w:rsidRPr="002268AF">
        <w:rPr>
          <w:rFonts w:ascii="Georgia" w:hAnsi="Georgia"/>
          <w:sz w:val="28"/>
          <w:szCs w:val="28"/>
        </w:rPr>
        <w:t xml:space="preserve"> "Equal Opportunity is the Law" posters, </w:t>
      </w:r>
      <w:r w:rsidR="002268AF">
        <w:rPr>
          <w:rFonts w:ascii="Georgia" w:hAnsi="Georgia"/>
          <w:sz w:val="28"/>
          <w:szCs w:val="28"/>
        </w:rPr>
        <w:t>including in alternative formats and languages</w:t>
      </w:r>
      <w:r w:rsidRPr="002268AF">
        <w:rPr>
          <w:rFonts w:ascii="Georgia" w:hAnsi="Georgia"/>
          <w:sz w:val="28"/>
          <w:szCs w:val="28"/>
        </w:rPr>
        <w:t xml:space="preserve">. </w:t>
      </w:r>
    </w:p>
    <w:p w:rsidR="008758A1" w:rsidRDefault="008758A1" w:rsidP="00831B5C">
      <w:pPr>
        <w:pStyle w:val="Default"/>
        <w:rPr>
          <w:rFonts w:ascii="Georgia" w:hAnsi="Georgia"/>
          <w:sz w:val="28"/>
          <w:szCs w:val="28"/>
        </w:rPr>
      </w:pPr>
    </w:p>
    <w:p w:rsidR="008758A1" w:rsidRPr="008758A1" w:rsidRDefault="008758A1" w:rsidP="00946C54">
      <w:pPr>
        <w:pStyle w:val="Default"/>
        <w:jc w:val="both"/>
        <w:rPr>
          <w:rFonts w:ascii="Georgia" w:hAnsi="Georgia"/>
          <w:sz w:val="28"/>
          <w:szCs w:val="28"/>
        </w:rPr>
      </w:pPr>
      <w:r>
        <w:rPr>
          <w:rFonts w:ascii="Georgia" w:hAnsi="Georgia"/>
          <w:sz w:val="28"/>
          <w:szCs w:val="28"/>
          <w:u w:val="single"/>
        </w:rPr>
        <w:t xml:space="preserve">Step </w:t>
      </w:r>
      <w:r w:rsidR="00A01EAB">
        <w:rPr>
          <w:rFonts w:ascii="Georgia" w:hAnsi="Georgia"/>
          <w:sz w:val="28"/>
          <w:szCs w:val="28"/>
          <w:u w:val="single"/>
        </w:rPr>
        <w:t>4</w:t>
      </w:r>
      <w:r>
        <w:rPr>
          <w:rFonts w:ascii="Georgia" w:hAnsi="Georgia"/>
          <w:sz w:val="28"/>
          <w:szCs w:val="28"/>
          <w:u w:val="single"/>
        </w:rPr>
        <w:t>:</w:t>
      </w:r>
      <w:r>
        <w:rPr>
          <w:rFonts w:ascii="Georgia" w:hAnsi="Georgia"/>
          <w:sz w:val="28"/>
          <w:szCs w:val="28"/>
        </w:rPr>
        <w:t xml:space="preserve"> </w:t>
      </w:r>
      <w:r w:rsidRPr="008758A1">
        <w:rPr>
          <w:rFonts w:ascii="Georgia" w:hAnsi="Georgia"/>
          <w:sz w:val="28"/>
          <w:szCs w:val="28"/>
        </w:rPr>
        <w:t xml:space="preserve">At the conclusion of the monitoring review process, </w:t>
      </w:r>
      <w:r>
        <w:rPr>
          <w:rFonts w:ascii="Georgia" w:hAnsi="Georgia"/>
          <w:sz w:val="28"/>
          <w:szCs w:val="28"/>
        </w:rPr>
        <w:t xml:space="preserve">the </w:t>
      </w:r>
      <w:r w:rsidR="00A01EAB">
        <w:rPr>
          <w:rFonts w:ascii="Georgia" w:hAnsi="Georgia"/>
          <w:sz w:val="28"/>
          <w:szCs w:val="28"/>
        </w:rPr>
        <w:t xml:space="preserve">monitoring </w:t>
      </w:r>
      <w:r>
        <w:rPr>
          <w:rFonts w:ascii="Georgia" w:hAnsi="Georgia"/>
          <w:sz w:val="28"/>
          <w:szCs w:val="28"/>
        </w:rPr>
        <w:t xml:space="preserve">EO Officer conducting the review shall issue a </w:t>
      </w:r>
      <w:r w:rsidRPr="008758A1">
        <w:rPr>
          <w:rFonts w:ascii="Georgia" w:hAnsi="Georgia"/>
          <w:sz w:val="28"/>
          <w:szCs w:val="28"/>
        </w:rPr>
        <w:t>Determination Letter</w:t>
      </w:r>
      <w:r>
        <w:rPr>
          <w:rFonts w:ascii="Georgia" w:hAnsi="Georgia"/>
          <w:sz w:val="28"/>
          <w:szCs w:val="28"/>
        </w:rPr>
        <w:t xml:space="preserve"> to the recipient</w:t>
      </w:r>
      <w:r w:rsidRPr="008758A1">
        <w:rPr>
          <w:rFonts w:ascii="Georgia" w:hAnsi="Georgia"/>
          <w:sz w:val="28"/>
          <w:szCs w:val="28"/>
        </w:rPr>
        <w:t xml:space="preserve"> within thirty (30) working days of the completion of the review. A copy shall be maintained by the </w:t>
      </w:r>
      <w:r w:rsidR="00A01EAB">
        <w:rPr>
          <w:rFonts w:ascii="Georgia" w:hAnsi="Georgia"/>
          <w:sz w:val="28"/>
          <w:szCs w:val="28"/>
        </w:rPr>
        <w:t xml:space="preserve">monitoring </w:t>
      </w:r>
      <w:r w:rsidRPr="008758A1">
        <w:rPr>
          <w:rFonts w:ascii="Georgia" w:hAnsi="Georgia"/>
          <w:sz w:val="28"/>
          <w:szCs w:val="28"/>
        </w:rPr>
        <w:t>EO Officer conducting the review</w:t>
      </w:r>
      <w:r>
        <w:rPr>
          <w:rFonts w:ascii="Georgia" w:hAnsi="Georgia"/>
          <w:sz w:val="28"/>
          <w:szCs w:val="28"/>
        </w:rPr>
        <w:t>, and a copy shall be provided to the District of Columbia</w:t>
      </w:r>
      <w:r w:rsidR="00C91AC4">
        <w:rPr>
          <w:rFonts w:ascii="Georgia" w:hAnsi="Georgia"/>
          <w:sz w:val="28"/>
          <w:szCs w:val="28"/>
        </w:rPr>
        <w:t xml:space="preserve"> State-Level</w:t>
      </w:r>
      <w:r>
        <w:rPr>
          <w:rFonts w:ascii="Georgia" w:hAnsi="Georgia"/>
          <w:sz w:val="28"/>
          <w:szCs w:val="28"/>
        </w:rPr>
        <w:t xml:space="preserve"> EO Officer as well as the DOES EO Officer</w:t>
      </w:r>
      <w:r w:rsidRPr="008758A1">
        <w:rPr>
          <w:rFonts w:ascii="Georgia" w:hAnsi="Georgia"/>
          <w:sz w:val="28"/>
          <w:szCs w:val="28"/>
        </w:rPr>
        <w:t xml:space="preserve">. The </w:t>
      </w:r>
      <w:r w:rsidR="0052443D">
        <w:rPr>
          <w:rFonts w:ascii="Georgia" w:hAnsi="Georgia"/>
          <w:sz w:val="28"/>
          <w:szCs w:val="28"/>
        </w:rPr>
        <w:t>Determination Letter</w:t>
      </w:r>
      <w:r w:rsidRPr="008758A1">
        <w:rPr>
          <w:rFonts w:ascii="Georgia" w:hAnsi="Georgia"/>
          <w:sz w:val="28"/>
          <w:szCs w:val="28"/>
        </w:rPr>
        <w:t xml:space="preserve"> shall contain the following</w:t>
      </w:r>
      <w:bookmarkStart w:id="0" w:name="_GoBack"/>
      <w:bookmarkEnd w:id="0"/>
      <w:r w:rsidRPr="008758A1">
        <w:rPr>
          <w:rFonts w:ascii="Georgia" w:hAnsi="Georgia"/>
          <w:sz w:val="28"/>
          <w:szCs w:val="28"/>
        </w:rPr>
        <w:t xml:space="preserve">: </w:t>
      </w:r>
    </w:p>
    <w:p w:rsidR="008758A1" w:rsidRDefault="008758A1" w:rsidP="008758A1">
      <w:pPr>
        <w:pStyle w:val="Default"/>
        <w:rPr>
          <w:rFonts w:ascii="Georgia" w:hAnsi="Georgia"/>
          <w:sz w:val="28"/>
          <w:szCs w:val="28"/>
        </w:rPr>
      </w:pPr>
    </w:p>
    <w:p w:rsidR="008758A1" w:rsidRDefault="008758A1" w:rsidP="008758A1">
      <w:pPr>
        <w:pStyle w:val="Default"/>
        <w:numPr>
          <w:ilvl w:val="0"/>
          <w:numId w:val="3"/>
        </w:numPr>
        <w:rPr>
          <w:rFonts w:ascii="Georgia" w:hAnsi="Georgia"/>
          <w:sz w:val="28"/>
          <w:szCs w:val="28"/>
        </w:rPr>
      </w:pPr>
      <w:r w:rsidRPr="008758A1">
        <w:rPr>
          <w:rFonts w:ascii="Georgia" w:hAnsi="Georgia"/>
          <w:sz w:val="28"/>
          <w:szCs w:val="28"/>
        </w:rPr>
        <w:t xml:space="preserve">Name, location, and contact information of the recipient reviewed; </w:t>
      </w:r>
    </w:p>
    <w:p w:rsidR="008758A1" w:rsidRDefault="008758A1" w:rsidP="008758A1">
      <w:pPr>
        <w:pStyle w:val="Default"/>
        <w:numPr>
          <w:ilvl w:val="0"/>
          <w:numId w:val="3"/>
        </w:numPr>
        <w:rPr>
          <w:rFonts w:ascii="Georgia" w:hAnsi="Georgia"/>
          <w:sz w:val="28"/>
          <w:szCs w:val="28"/>
        </w:rPr>
      </w:pPr>
      <w:r w:rsidRPr="008758A1">
        <w:rPr>
          <w:rFonts w:ascii="Georgia" w:hAnsi="Georgia"/>
          <w:sz w:val="28"/>
          <w:szCs w:val="28"/>
        </w:rPr>
        <w:t xml:space="preserve">A brief description of the services or program provided by the recipient; </w:t>
      </w:r>
    </w:p>
    <w:p w:rsidR="008758A1" w:rsidRDefault="008758A1" w:rsidP="008758A1">
      <w:pPr>
        <w:pStyle w:val="Default"/>
        <w:numPr>
          <w:ilvl w:val="0"/>
          <w:numId w:val="3"/>
        </w:numPr>
        <w:rPr>
          <w:rFonts w:ascii="Georgia" w:hAnsi="Georgia"/>
          <w:sz w:val="28"/>
          <w:szCs w:val="28"/>
        </w:rPr>
      </w:pPr>
      <w:r w:rsidRPr="008758A1">
        <w:rPr>
          <w:rFonts w:ascii="Georgia" w:hAnsi="Georgia"/>
          <w:sz w:val="28"/>
          <w:szCs w:val="28"/>
        </w:rPr>
        <w:t xml:space="preserve">Name and contact information of the EO Officer conducting the review; </w:t>
      </w:r>
    </w:p>
    <w:p w:rsidR="008758A1" w:rsidRDefault="008758A1" w:rsidP="008758A1">
      <w:pPr>
        <w:pStyle w:val="Default"/>
        <w:numPr>
          <w:ilvl w:val="0"/>
          <w:numId w:val="3"/>
        </w:numPr>
        <w:rPr>
          <w:rFonts w:ascii="Georgia" w:hAnsi="Georgia"/>
          <w:sz w:val="28"/>
          <w:szCs w:val="28"/>
        </w:rPr>
      </w:pPr>
      <w:r w:rsidRPr="008758A1">
        <w:rPr>
          <w:rFonts w:ascii="Georgia" w:hAnsi="Georgia"/>
          <w:sz w:val="28"/>
          <w:szCs w:val="28"/>
        </w:rPr>
        <w:t xml:space="preserve">Reason(s) for the review; </w:t>
      </w:r>
    </w:p>
    <w:p w:rsidR="008758A1" w:rsidRDefault="008758A1" w:rsidP="008758A1">
      <w:pPr>
        <w:pStyle w:val="Default"/>
        <w:numPr>
          <w:ilvl w:val="0"/>
          <w:numId w:val="3"/>
        </w:numPr>
        <w:rPr>
          <w:rFonts w:ascii="Georgia" w:hAnsi="Georgia"/>
          <w:sz w:val="28"/>
          <w:szCs w:val="28"/>
        </w:rPr>
      </w:pPr>
      <w:r w:rsidRPr="008758A1">
        <w:rPr>
          <w:rFonts w:ascii="Georgia" w:hAnsi="Georgia"/>
          <w:sz w:val="28"/>
          <w:szCs w:val="28"/>
        </w:rPr>
        <w:t xml:space="preserve">Results of any analytical data; </w:t>
      </w:r>
    </w:p>
    <w:p w:rsidR="008758A1" w:rsidRDefault="008758A1" w:rsidP="008758A1">
      <w:pPr>
        <w:pStyle w:val="Default"/>
        <w:numPr>
          <w:ilvl w:val="0"/>
          <w:numId w:val="3"/>
        </w:numPr>
        <w:rPr>
          <w:rFonts w:ascii="Georgia" w:hAnsi="Georgia"/>
          <w:sz w:val="28"/>
          <w:szCs w:val="28"/>
        </w:rPr>
      </w:pPr>
      <w:r w:rsidRPr="008758A1">
        <w:rPr>
          <w:rFonts w:ascii="Georgia" w:hAnsi="Georgia"/>
          <w:sz w:val="28"/>
          <w:szCs w:val="28"/>
        </w:rPr>
        <w:t>Names of staff interviewed</w:t>
      </w:r>
      <w:r>
        <w:rPr>
          <w:rFonts w:ascii="Georgia" w:hAnsi="Georgia"/>
          <w:sz w:val="28"/>
          <w:szCs w:val="28"/>
        </w:rPr>
        <w:t xml:space="preserve"> (by phone or onsite)</w:t>
      </w:r>
      <w:r w:rsidRPr="008758A1">
        <w:rPr>
          <w:rFonts w:ascii="Georgia" w:hAnsi="Georgia"/>
          <w:sz w:val="28"/>
          <w:szCs w:val="28"/>
        </w:rPr>
        <w:t xml:space="preserve">; </w:t>
      </w:r>
    </w:p>
    <w:p w:rsidR="008758A1" w:rsidRDefault="008758A1" w:rsidP="008758A1">
      <w:pPr>
        <w:pStyle w:val="Default"/>
        <w:numPr>
          <w:ilvl w:val="0"/>
          <w:numId w:val="3"/>
        </w:numPr>
        <w:rPr>
          <w:rFonts w:ascii="Georgia" w:hAnsi="Georgia"/>
          <w:sz w:val="28"/>
          <w:szCs w:val="28"/>
        </w:rPr>
      </w:pPr>
      <w:r w:rsidRPr="008758A1">
        <w:rPr>
          <w:rFonts w:ascii="Georgia" w:hAnsi="Georgia"/>
          <w:sz w:val="28"/>
          <w:szCs w:val="28"/>
        </w:rPr>
        <w:t>Names of participants interviewed</w:t>
      </w:r>
      <w:r>
        <w:rPr>
          <w:rFonts w:ascii="Georgia" w:hAnsi="Georgia"/>
          <w:sz w:val="28"/>
          <w:szCs w:val="28"/>
        </w:rPr>
        <w:t xml:space="preserve"> (for onsite monitoring)</w:t>
      </w:r>
      <w:r w:rsidRPr="008758A1">
        <w:rPr>
          <w:rFonts w:ascii="Georgia" w:hAnsi="Georgia"/>
          <w:sz w:val="28"/>
          <w:szCs w:val="28"/>
        </w:rPr>
        <w:t xml:space="preserve">; </w:t>
      </w:r>
    </w:p>
    <w:p w:rsidR="008758A1" w:rsidRDefault="008758A1" w:rsidP="008758A1">
      <w:pPr>
        <w:pStyle w:val="Default"/>
        <w:numPr>
          <w:ilvl w:val="0"/>
          <w:numId w:val="3"/>
        </w:numPr>
        <w:rPr>
          <w:rFonts w:ascii="Georgia" w:hAnsi="Georgia"/>
          <w:sz w:val="28"/>
          <w:szCs w:val="28"/>
        </w:rPr>
      </w:pPr>
      <w:r w:rsidRPr="008758A1">
        <w:rPr>
          <w:rFonts w:ascii="Georgia" w:hAnsi="Georgia"/>
          <w:sz w:val="28"/>
          <w:szCs w:val="28"/>
        </w:rPr>
        <w:t xml:space="preserve">Overall results of the review; </w:t>
      </w:r>
    </w:p>
    <w:p w:rsidR="008758A1" w:rsidRDefault="008758A1" w:rsidP="008758A1">
      <w:pPr>
        <w:pStyle w:val="Default"/>
        <w:numPr>
          <w:ilvl w:val="0"/>
          <w:numId w:val="3"/>
        </w:numPr>
        <w:rPr>
          <w:rFonts w:ascii="Georgia" w:hAnsi="Georgia"/>
          <w:sz w:val="28"/>
          <w:szCs w:val="28"/>
        </w:rPr>
      </w:pPr>
      <w:r w:rsidRPr="008758A1">
        <w:rPr>
          <w:rFonts w:ascii="Georgia" w:hAnsi="Georgia"/>
          <w:sz w:val="28"/>
          <w:szCs w:val="28"/>
        </w:rPr>
        <w:t xml:space="preserve">Any findings of noncompliance including condition, cause, and criteria; </w:t>
      </w:r>
    </w:p>
    <w:p w:rsidR="008758A1" w:rsidRDefault="008758A1" w:rsidP="008758A1">
      <w:pPr>
        <w:pStyle w:val="Default"/>
        <w:numPr>
          <w:ilvl w:val="0"/>
          <w:numId w:val="3"/>
        </w:numPr>
        <w:rPr>
          <w:rFonts w:ascii="Georgia" w:hAnsi="Georgia"/>
          <w:sz w:val="28"/>
          <w:szCs w:val="28"/>
        </w:rPr>
      </w:pPr>
      <w:r w:rsidRPr="008758A1">
        <w:rPr>
          <w:rFonts w:ascii="Georgia" w:hAnsi="Georgia"/>
          <w:sz w:val="28"/>
          <w:szCs w:val="28"/>
        </w:rPr>
        <w:t xml:space="preserve">Corrective actions identified; and </w:t>
      </w:r>
    </w:p>
    <w:p w:rsidR="008758A1" w:rsidRPr="008758A1" w:rsidRDefault="008758A1" w:rsidP="008758A1">
      <w:pPr>
        <w:pStyle w:val="Default"/>
        <w:numPr>
          <w:ilvl w:val="0"/>
          <w:numId w:val="3"/>
        </w:numPr>
        <w:rPr>
          <w:rFonts w:ascii="Georgia" w:hAnsi="Georgia"/>
          <w:sz w:val="28"/>
          <w:szCs w:val="28"/>
        </w:rPr>
      </w:pPr>
      <w:r w:rsidRPr="008758A1">
        <w:rPr>
          <w:rFonts w:ascii="Georgia" w:hAnsi="Georgia"/>
          <w:sz w:val="28"/>
          <w:szCs w:val="28"/>
        </w:rPr>
        <w:t xml:space="preserve">Method and time frame for follow-up. </w:t>
      </w:r>
    </w:p>
    <w:p w:rsidR="008758A1" w:rsidRDefault="008758A1" w:rsidP="008758A1">
      <w:pPr>
        <w:pStyle w:val="Default"/>
        <w:rPr>
          <w:rFonts w:ascii="Georgia" w:hAnsi="Georgia"/>
          <w:sz w:val="28"/>
          <w:szCs w:val="28"/>
        </w:rPr>
      </w:pPr>
    </w:p>
    <w:p w:rsidR="002268AF" w:rsidRPr="00C210FD" w:rsidRDefault="002268AF" w:rsidP="00946C54">
      <w:pPr>
        <w:pStyle w:val="Default"/>
        <w:jc w:val="both"/>
        <w:rPr>
          <w:rFonts w:ascii="Georgia" w:hAnsi="Georgia"/>
          <w:sz w:val="28"/>
          <w:szCs w:val="28"/>
        </w:rPr>
      </w:pPr>
      <w:r>
        <w:rPr>
          <w:rFonts w:ascii="Georgia" w:hAnsi="Georgia"/>
          <w:sz w:val="28"/>
          <w:szCs w:val="28"/>
          <w:u w:val="single"/>
        </w:rPr>
        <w:t xml:space="preserve">Step </w:t>
      </w:r>
      <w:r w:rsidR="00A01EAB">
        <w:rPr>
          <w:rFonts w:ascii="Georgia" w:hAnsi="Georgia"/>
          <w:sz w:val="28"/>
          <w:szCs w:val="28"/>
          <w:u w:val="single"/>
        </w:rPr>
        <w:t>5</w:t>
      </w:r>
      <w:r>
        <w:rPr>
          <w:rFonts w:ascii="Georgia" w:hAnsi="Georgia"/>
          <w:sz w:val="28"/>
          <w:szCs w:val="28"/>
          <w:u w:val="single"/>
        </w:rPr>
        <w:t>:</w:t>
      </w:r>
      <w:r>
        <w:rPr>
          <w:rFonts w:ascii="Georgia" w:hAnsi="Georgia"/>
          <w:sz w:val="28"/>
          <w:szCs w:val="28"/>
        </w:rPr>
        <w:t xml:space="preserve"> </w:t>
      </w:r>
      <w:r w:rsidRPr="00C210FD">
        <w:rPr>
          <w:rFonts w:ascii="Georgia" w:hAnsi="Georgia"/>
          <w:sz w:val="28"/>
          <w:szCs w:val="28"/>
        </w:rPr>
        <w:t xml:space="preserve">Immediately following </w:t>
      </w:r>
      <w:r>
        <w:rPr>
          <w:rFonts w:ascii="Georgia" w:hAnsi="Georgia"/>
          <w:sz w:val="28"/>
          <w:szCs w:val="28"/>
        </w:rPr>
        <w:t xml:space="preserve">completion of the monitoring, the </w:t>
      </w:r>
      <w:r w:rsidR="00A01EAB">
        <w:rPr>
          <w:rFonts w:ascii="Georgia" w:hAnsi="Georgia"/>
          <w:sz w:val="28"/>
          <w:szCs w:val="28"/>
        </w:rPr>
        <w:t xml:space="preserve">monitoring </w:t>
      </w:r>
      <w:r>
        <w:rPr>
          <w:rFonts w:ascii="Georgia" w:hAnsi="Georgia"/>
          <w:sz w:val="28"/>
          <w:szCs w:val="28"/>
        </w:rPr>
        <w:t xml:space="preserve">EO Officer </w:t>
      </w:r>
      <w:r w:rsidRPr="00C210FD">
        <w:rPr>
          <w:rFonts w:ascii="Georgia" w:hAnsi="Georgia"/>
          <w:sz w:val="28"/>
          <w:szCs w:val="28"/>
        </w:rPr>
        <w:t xml:space="preserve">may conduct an exit meeting with the </w:t>
      </w:r>
      <w:r>
        <w:rPr>
          <w:rFonts w:ascii="Georgia" w:hAnsi="Georgia"/>
          <w:sz w:val="28"/>
          <w:szCs w:val="28"/>
        </w:rPr>
        <w:t xml:space="preserve">recipient’s </w:t>
      </w:r>
      <w:r w:rsidRPr="00C210FD">
        <w:rPr>
          <w:rFonts w:ascii="Georgia" w:hAnsi="Georgia"/>
          <w:sz w:val="28"/>
          <w:szCs w:val="28"/>
        </w:rPr>
        <w:t>EO</w:t>
      </w:r>
      <w:r>
        <w:rPr>
          <w:rFonts w:ascii="Georgia" w:hAnsi="Georgia"/>
          <w:sz w:val="28"/>
          <w:szCs w:val="28"/>
        </w:rPr>
        <w:t xml:space="preserve"> </w:t>
      </w:r>
      <w:r w:rsidR="00C91AC4">
        <w:rPr>
          <w:rFonts w:ascii="Georgia" w:hAnsi="Georgia"/>
          <w:sz w:val="28"/>
          <w:szCs w:val="28"/>
        </w:rPr>
        <w:t>contact</w:t>
      </w:r>
      <w:r>
        <w:rPr>
          <w:rFonts w:ascii="Georgia" w:hAnsi="Georgia"/>
          <w:sz w:val="28"/>
          <w:szCs w:val="28"/>
        </w:rPr>
        <w:t xml:space="preserve"> and leadership to </w:t>
      </w:r>
      <w:r w:rsidRPr="00C210FD">
        <w:rPr>
          <w:rFonts w:ascii="Georgia" w:hAnsi="Georgia"/>
          <w:sz w:val="28"/>
          <w:szCs w:val="28"/>
        </w:rPr>
        <w:t xml:space="preserve">discuss the findings and clarify areas in question. A preliminary compliance status may be given at this time, and corrective action(s) may be suggested. </w:t>
      </w:r>
    </w:p>
    <w:p w:rsidR="002268AF" w:rsidRPr="002268AF" w:rsidRDefault="002268AF" w:rsidP="00946C54">
      <w:pPr>
        <w:pStyle w:val="Default"/>
        <w:jc w:val="both"/>
        <w:rPr>
          <w:rFonts w:ascii="Georgia" w:hAnsi="Georgia"/>
          <w:sz w:val="28"/>
          <w:szCs w:val="28"/>
        </w:rPr>
      </w:pPr>
    </w:p>
    <w:p w:rsidR="008758A1" w:rsidRDefault="008758A1" w:rsidP="00946C54">
      <w:pPr>
        <w:pStyle w:val="Default"/>
        <w:jc w:val="both"/>
        <w:rPr>
          <w:rFonts w:ascii="Georgia" w:hAnsi="Georgia"/>
          <w:sz w:val="28"/>
          <w:szCs w:val="28"/>
        </w:rPr>
      </w:pPr>
      <w:r>
        <w:rPr>
          <w:rFonts w:ascii="Georgia" w:hAnsi="Georgia"/>
          <w:sz w:val="28"/>
          <w:szCs w:val="28"/>
          <w:u w:val="single"/>
        </w:rPr>
        <w:t xml:space="preserve">Step </w:t>
      </w:r>
      <w:r w:rsidR="00A01EAB">
        <w:rPr>
          <w:rFonts w:ascii="Georgia" w:hAnsi="Georgia"/>
          <w:sz w:val="28"/>
          <w:szCs w:val="28"/>
          <w:u w:val="single"/>
        </w:rPr>
        <w:t>6</w:t>
      </w:r>
      <w:r>
        <w:rPr>
          <w:rFonts w:ascii="Georgia" w:hAnsi="Georgia"/>
          <w:sz w:val="28"/>
          <w:szCs w:val="28"/>
          <w:u w:val="single"/>
        </w:rPr>
        <w:t>:</w:t>
      </w:r>
      <w:r>
        <w:rPr>
          <w:rFonts w:ascii="Georgia" w:hAnsi="Georgia"/>
          <w:sz w:val="28"/>
          <w:szCs w:val="28"/>
        </w:rPr>
        <w:t xml:space="preserve"> The </w:t>
      </w:r>
      <w:r w:rsidR="00A01EAB">
        <w:rPr>
          <w:rFonts w:ascii="Georgia" w:hAnsi="Georgia"/>
          <w:sz w:val="28"/>
          <w:szCs w:val="28"/>
        </w:rPr>
        <w:t xml:space="preserve">monitoring </w:t>
      </w:r>
      <w:r>
        <w:rPr>
          <w:rFonts w:ascii="Georgia" w:hAnsi="Georgia"/>
          <w:sz w:val="28"/>
          <w:szCs w:val="28"/>
        </w:rPr>
        <w:t>EO Officer follows the District of Columbia’s Corrective Actions and Sanctions policies and procedures to address any deficiencies with the recipient.</w:t>
      </w:r>
    </w:p>
    <w:p w:rsidR="008758A1" w:rsidRDefault="008758A1" w:rsidP="008758A1">
      <w:pPr>
        <w:pStyle w:val="Default"/>
        <w:rPr>
          <w:rFonts w:ascii="Georgia" w:hAnsi="Georgia"/>
          <w:sz w:val="28"/>
          <w:szCs w:val="28"/>
        </w:rPr>
      </w:pPr>
    </w:p>
    <w:sectPr w:rsidR="008758A1" w:rsidSect="00F61DE6">
      <w:headerReference w:type="default" r:id="rId8"/>
      <w:footerReference w:type="default" r:id="rId9"/>
      <w:headerReference w:type="first" r:id="rId10"/>
      <w:pgSz w:w="12240" w:h="163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339" w:rsidRDefault="005D1339" w:rsidP="007B7564">
      <w:pPr>
        <w:spacing w:after="0" w:line="240" w:lineRule="auto"/>
      </w:pPr>
      <w:r>
        <w:separator/>
      </w:r>
    </w:p>
  </w:endnote>
  <w:endnote w:type="continuationSeparator" w:id="0">
    <w:p w:rsidR="005D1339" w:rsidRDefault="005D1339" w:rsidP="007B7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279876"/>
      <w:docPartObj>
        <w:docPartGallery w:val="Page Numbers (Bottom of Page)"/>
        <w:docPartUnique/>
      </w:docPartObj>
    </w:sdtPr>
    <w:sdtEndPr/>
    <w:sdtContent>
      <w:sdt>
        <w:sdtPr>
          <w:id w:val="98381352"/>
          <w:docPartObj>
            <w:docPartGallery w:val="Page Numbers (Top of Page)"/>
            <w:docPartUnique/>
          </w:docPartObj>
        </w:sdtPr>
        <w:sdtEndPr/>
        <w:sdtContent>
          <w:p w:rsidR="0003705E" w:rsidRDefault="0003705E" w:rsidP="000370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2F7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2F72">
              <w:rPr>
                <w:b/>
                <w:bCs/>
                <w:noProof/>
              </w:rPr>
              <w:t>5</w:t>
            </w:r>
            <w:r>
              <w:rPr>
                <w:b/>
                <w:bCs/>
                <w:sz w:val="24"/>
                <w:szCs w:val="24"/>
              </w:rPr>
              <w:fldChar w:fldCharType="end"/>
            </w:r>
          </w:p>
        </w:sdtContent>
      </w:sdt>
    </w:sdtContent>
  </w:sdt>
  <w:p w:rsidR="0003705E" w:rsidRDefault="00037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339" w:rsidRDefault="005D1339" w:rsidP="007B7564">
      <w:pPr>
        <w:spacing w:after="0" w:line="240" w:lineRule="auto"/>
      </w:pPr>
      <w:r>
        <w:separator/>
      </w:r>
    </w:p>
  </w:footnote>
  <w:footnote w:type="continuationSeparator" w:id="0">
    <w:p w:rsidR="005D1339" w:rsidRDefault="005D1339" w:rsidP="007B7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64" w:rsidRDefault="007B7564" w:rsidP="007B756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6" w:rsidRDefault="00F61DE6" w:rsidP="00F61DE6">
    <w:pPr>
      <w:pStyle w:val="Header"/>
      <w:jc w:val="center"/>
    </w:pPr>
    <w:r>
      <w:rPr>
        <w:noProof/>
      </w:rPr>
      <w:drawing>
        <wp:inline distT="0" distB="0" distL="0" distR="0" wp14:anchorId="1C6F6EBB" wp14:editId="79F7C79C">
          <wp:extent cx="2457450" cy="668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_Logo_Color_web.png"/>
                  <pic:cNvPicPr/>
                </pic:nvPicPr>
                <pic:blipFill>
                  <a:blip r:embed="rId1">
                    <a:extLst>
                      <a:ext uri="{28A0092B-C50C-407E-A947-70E740481C1C}">
                        <a14:useLocalDpi xmlns:a14="http://schemas.microsoft.com/office/drawing/2010/main" val="0"/>
                      </a:ext>
                    </a:extLst>
                  </a:blip>
                  <a:stretch>
                    <a:fillRect/>
                  </a:stretch>
                </pic:blipFill>
                <pic:spPr>
                  <a:xfrm>
                    <a:off x="0" y="0"/>
                    <a:ext cx="2457143" cy="6687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76D76"/>
    <w:multiLevelType w:val="hybridMultilevel"/>
    <w:tmpl w:val="0B76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A7E1F"/>
    <w:multiLevelType w:val="hybridMultilevel"/>
    <w:tmpl w:val="6832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5E5BD4"/>
    <w:multiLevelType w:val="hybridMultilevel"/>
    <w:tmpl w:val="C9E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5F1F67"/>
    <w:multiLevelType w:val="hybridMultilevel"/>
    <w:tmpl w:val="EFEA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D8EADD"/>
    <w:multiLevelType w:val="hybridMultilevel"/>
    <w:tmpl w:val="A058166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65"/>
    <w:rsid w:val="0003705E"/>
    <w:rsid w:val="000A1798"/>
    <w:rsid w:val="000E17A9"/>
    <w:rsid w:val="00211242"/>
    <w:rsid w:val="002268AF"/>
    <w:rsid w:val="00272F72"/>
    <w:rsid w:val="002C1333"/>
    <w:rsid w:val="00487668"/>
    <w:rsid w:val="004A6A2F"/>
    <w:rsid w:val="004E315C"/>
    <w:rsid w:val="0052443D"/>
    <w:rsid w:val="00571BE3"/>
    <w:rsid w:val="005D1339"/>
    <w:rsid w:val="006001D3"/>
    <w:rsid w:val="0064596C"/>
    <w:rsid w:val="007106E8"/>
    <w:rsid w:val="007272F5"/>
    <w:rsid w:val="00762E3D"/>
    <w:rsid w:val="0077533A"/>
    <w:rsid w:val="007B7564"/>
    <w:rsid w:val="00831B5C"/>
    <w:rsid w:val="00874B60"/>
    <w:rsid w:val="008758A1"/>
    <w:rsid w:val="00946C54"/>
    <w:rsid w:val="00A01EAB"/>
    <w:rsid w:val="00AD63D8"/>
    <w:rsid w:val="00C210FD"/>
    <w:rsid w:val="00C91AC4"/>
    <w:rsid w:val="00DA1F2C"/>
    <w:rsid w:val="00DA6C14"/>
    <w:rsid w:val="00DF0D45"/>
    <w:rsid w:val="00E8273B"/>
    <w:rsid w:val="00F10865"/>
    <w:rsid w:val="00F6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0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086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F0D45"/>
    <w:rPr>
      <w:color w:val="0000FF"/>
      <w:u w:val="single"/>
    </w:rPr>
  </w:style>
  <w:style w:type="table" w:styleId="TableGrid">
    <w:name w:val="Table Grid"/>
    <w:basedOn w:val="TableNormal"/>
    <w:uiPriority w:val="39"/>
    <w:rsid w:val="0048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7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64"/>
    <w:rPr>
      <w:rFonts w:ascii="Tahoma" w:hAnsi="Tahoma" w:cs="Tahoma"/>
      <w:sz w:val="16"/>
      <w:szCs w:val="16"/>
    </w:rPr>
  </w:style>
  <w:style w:type="paragraph" w:styleId="Header">
    <w:name w:val="header"/>
    <w:basedOn w:val="Normal"/>
    <w:link w:val="HeaderChar"/>
    <w:uiPriority w:val="99"/>
    <w:unhideWhenUsed/>
    <w:rsid w:val="007B7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564"/>
  </w:style>
  <w:style w:type="paragraph" w:styleId="Footer">
    <w:name w:val="footer"/>
    <w:basedOn w:val="Normal"/>
    <w:link w:val="FooterChar"/>
    <w:uiPriority w:val="99"/>
    <w:unhideWhenUsed/>
    <w:rsid w:val="007B7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564"/>
  </w:style>
  <w:style w:type="character" w:styleId="CommentReference">
    <w:name w:val="annotation reference"/>
    <w:basedOn w:val="DefaultParagraphFont"/>
    <w:uiPriority w:val="99"/>
    <w:semiHidden/>
    <w:unhideWhenUsed/>
    <w:rsid w:val="007B7564"/>
    <w:rPr>
      <w:sz w:val="16"/>
      <w:szCs w:val="16"/>
    </w:rPr>
  </w:style>
  <w:style w:type="paragraph" w:styleId="CommentText">
    <w:name w:val="annotation text"/>
    <w:basedOn w:val="Normal"/>
    <w:link w:val="CommentTextChar"/>
    <w:uiPriority w:val="99"/>
    <w:unhideWhenUsed/>
    <w:rsid w:val="007B7564"/>
    <w:pPr>
      <w:spacing w:line="240" w:lineRule="auto"/>
    </w:pPr>
    <w:rPr>
      <w:sz w:val="20"/>
      <w:szCs w:val="20"/>
    </w:rPr>
  </w:style>
  <w:style w:type="character" w:customStyle="1" w:styleId="CommentTextChar">
    <w:name w:val="Comment Text Char"/>
    <w:basedOn w:val="DefaultParagraphFont"/>
    <w:link w:val="CommentText"/>
    <w:uiPriority w:val="99"/>
    <w:rsid w:val="007B7564"/>
    <w:rPr>
      <w:sz w:val="20"/>
      <w:szCs w:val="20"/>
    </w:rPr>
  </w:style>
  <w:style w:type="paragraph" w:styleId="CommentSubject">
    <w:name w:val="annotation subject"/>
    <w:basedOn w:val="CommentText"/>
    <w:next w:val="CommentText"/>
    <w:link w:val="CommentSubjectChar"/>
    <w:uiPriority w:val="99"/>
    <w:semiHidden/>
    <w:unhideWhenUsed/>
    <w:rsid w:val="007B7564"/>
    <w:rPr>
      <w:b/>
      <w:bCs/>
    </w:rPr>
  </w:style>
  <w:style w:type="character" w:customStyle="1" w:styleId="CommentSubjectChar">
    <w:name w:val="Comment Subject Char"/>
    <w:basedOn w:val="CommentTextChar"/>
    <w:link w:val="CommentSubject"/>
    <w:uiPriority w:val="99"/>
    <w:semiHidden/>
    <w:rsid w:val="007B7564"/>
    <w:rPr>
      <w:b/>
      <w:bCs/>
      <w:sz w:val="20"/>
      <w:szCs w:val="20"/>
    </w:rPr>
  </w:style>
  <w:style w:type="paragraph" w:styleId="Title">
    <w:name w:val="Title"/>
    <w:basedOn w:val="Normal"/>
    <w:next w:val="Normal"/>
    <w:link w:val="TitleChar"/>
    <w:uiPriority w:val="10"/>
    <w:qFormat/>
    <w:rsid w:val="007106E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106E8"/>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0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086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F0D45"/>
    <w:rPr>
      <w:color w:val="0000FF"/>
      <w:u w:val="single"/>
    </w:rPr>
  </w:style>
  <w:style w:type="table" w:styleId="TableGrid">
    <w:name w:val="Table Grid"/>
    <w:basedOn w:val="TableNormal"/>
    <w:uiPriority w:val="39"/>
    <w:rsid w:val="0048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7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64"/>
    <w:rPr>
      <w:rFonts w:ascii="Tahoma" w:hAnsi="Tahoma" w:cs="Tahoma"/>
      <w:sz w:val="16"/>
      <w:szCs w:val="16"/>
    </w:rPr>
  </w:style>
  <w:style w:type="paragraph" w:styleId="Header">
    <w:name w:val="header"/>
    <w:basedOn w:val="Normal"/>
    <w:link w:val="HeaderChar"/>
    <w:uiPriority w:val="99"/>
    <w:unhideWhenUsed/>
    <w:rsid w:val="007B7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564"/>
  </w:style>
  <w:style w:type="paragraph" w:styleId="Footer">
    <w:name w:val="footer"/>
    <w:basedOn w:val="Normal"/>
    <w:link w:val="FooterChar"/>
    <w:uiPriority w:val="99"/>
    <w:unhideWhenUsed/>
    <w:rsid w:val="007B7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564"/>
  </w:style>
  <w:style w:type="character" w:styleId="CommentReference">
    <w:name w:val="annotation reference"/>
    <w:basedOn w:val="DefaultParagraphFont"/>
    <w:uiPriority w:val="99"/>
    <w:semiHidden/>
    <w:unhideWhenUsed/>
    <w:rsid w:val="007B7564"/>
    <w:rPr>
      <w:sz w:val="16"/>
      <w:szCs w:val="16"/>
    </w:rPr>
  </w:style>
  <w:style w:type="paragraph" w:styleId="CommentText">
    <w:name w:val="annotation text"/>
    <w:basedOn w:val="Normal"/>
    <w:link w:val="CommentTextChar"/>
    <w:uiPriority w:val="99"/>
    <w:unhideWhenUsed/>
    <w:rsid w:val="007B7564"/>
    <w:pPr>
      <w:spacing w:line="240" w:lineRule="auto"/>
    </w:pPr>
    <w:rPr>
      <w:sz w:val="20"/>
      <w:szCs w:val="20"/>
    </w:rPr>
  </w:style>
  <w:style w:type="character" w:customStyle="1" w:styleId="CommentTextChar">
    <w:name w:val="Comment Text Char"/>
    <w:basedOn w:val="DefaultParagraphFont"/>
    <w:link w:val="CommentText"/>
    <w:uiPriority w:val="99"/>
    <w:rsid w:val="007B7564"/>
    <w:rPr>
      <w:sz w:val="20"/>
      <w:szCs w:val="20"/>
    </w:rPr>
  </w:style>
  <w:style w:type="paragraph" w:styleId="CommentSubject">
    <w:name w:val="annotation subject"/>
    <w:basedOn w:val="CommentText"/>
    <w:next w:val="CommentText"/>
    <w:link w:val="CommentSubjectChar"/>
    <w:uiPriority w:val="99"/>
    <w:semiHidden/>
    <w:unhideWhenUsed/>
    <w:rsid w:val="007B7564"/>
    <w:rPr>
      <w:b/>
      <w:bCs/>
    </w:rPr>
  </w:style>
  <w:style w:type="character" w:customStyle="1" w:styleId="CommentSubjectChar">
    <w:name w:val="Comment Subject Char"/>
    <w:basedOn w:val="CommentTextChar"/>
    <w:link w:val="CommentSubject"/>
    <w:uiPriority w:val="99"/>
    <w:semiHidden/>
    <w:rsid w:val="007B7564"/>
    <w:rPr>
      <w:b/>
      <w:bCs/>
      <w:sz w:val="20"/>
      <w:szCs w:val="20"/>
    </w:rPr>
  </w:style>
  <w:style w:type="paragraph" w:styleId="Title">
    <w:name w:val="Title"/>
    <w:basedOn w:val="Normal"/>
    <w:next w:val="Normal"/>
    <w:link w:val="TitleChar"/>
    <w:uiPriority w:val="10"/>
    <w:qFormat/>
    <w:rsid w:val="007106E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106E8"/>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Seena Foster</dc:creator>
  <cp:lastModifiedBy>Scott, Lauren (EOM)</cp:lastModifiedBy>
  <cp:revision>2</cp:revision>
  <cp:lastPrinted>2019-10-30T17:15:00Z</cp:lastPrinted>
  <dcterms:created xsi:type="dcterms:W3CDTF">2019-10-30T17:51:00Z</dcterms:created>
  <dcterms:modified xsi:type="dcterms:W3CDTF">2019-10-30T17:51:00Z</dcterms:modified>
</cp:coreProperties>
</file>